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791" w:rsidRPr="002A508D" w:rsidRDefault="00327045">
      <w:pPr>
        <w:rPr>
          <w:rFonts w:ascii="Arial Rounded MT Bold" w:hAnsi="Arial Rounded MT Bold"/>
          <w:b/>
          <w:color w:val="C00000"/>
          <w:sz w:val="40"/>
        </w:rPr>
      </w:pPr>
      <w:bookmarkStart w:id="0" w:name="_Hlk484694109"/>
      <w:bookmarkEnd w:id="0"/>
      <w:r>
        <w:rPr>
          <w:rFonts w:ascii="Arial Rounded MT Bold" w:hAnsi="Arial Rounded MT Bold"/>
          <w:b/>
          <w:i/>
          <w:iCs/>
          <w:color w:val="C00000"/>
          <w:sz w:val="40"/>
        </w:rPr>
        <w:t>Sirex noctilio</w:t>
      </w:r>
      <w:r w:rsidR="002A508D" w:rsidRPr="002A508D">
        <w:rPr>
          <w:rFonts w:ascii="Arial Rounded MT Bold" w:hAnsi="Arial Rounded MT Bold"/>
          <w:b/>
          <w:color w:val="C00000"/>
          <w:sz w:val="40"/>
        </w:rPr>
        <w:t>.</w:t>
      </w:r>
    </w:p>
    <w:p w:rsidR="002A508D" w:rsidRDefault="00720936" w:rsidP="002A508D">
      <w:pPr>
        <w:pStyle w:val="Prrafodelista"/>
        <w:numPr>
          <w:ilvl w:val="0"/>
          <w:numId w:val="1"/>
        </w:numPr>
        <w:ind w:left="426" w:hanging="284"/>
        <w:rPr>
          <w:rFonts w:ascii="Arial Rounded MT Bold" w:hAnsi="Arial Rounded MT Bold"/>
          <w:b/>
          <w:color w:val="0070C0"/>
          <w:sz w:val="24"/>
        </w:rPr>
      </w:pPr>
      <w:r>
        <w:rPr>
          <w:noProof/>
        </w:rPr>
        <w:drawing>
          <wp:anchor distT="0" distB="0" distL="114300" distR="114300" simplePos="0" relativeHeight="251658752" behindDoc="0" locked="0" layoutInCell="1" allowOverlap="1">
            <wp:simplePos x="0" y="0"/>
            <wp:positionH relativeFrom="column">
              <wp:posOffset>3120390</wp:posOffset>
            </wp:positionH>
            <wp:positionV relativeFrom="paragraph">
              <wp:posOffset>45085</wp:posOffset>
            </wp:positionV>
            <wp:extent cx="2076450" cy="1556385"/>
            <wp:effectExtent l="95250" t="95250" r="76200" b="81915"/>
            <wp:wrapThrough wrapText="bothSides">
              <wp:wrapPolygon edited="0">
                <wp:start x="-991" y="-1322"/>
                <wp:lineTo x="-991" y="22737"/>
                <wp:lineTo x="22393" y="22737"/>
                <wp:lineTo x="22393" y="-1322"/>
                <wp:lineTo x="-991" y="-1322"/>
              </wp:wrapPolygon>
            </wp:wrapThrough>
            <wp:docPr id="3" name="Imagen 3" descr="http://www.forestpests.org/vd/images/5430567-S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restpests.org/vd/images/5430567-SMP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6450" cy="15563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A508D" w:rsidRPr="002A508D">
        <w:rPr>
          <w:rFonts w:ascii="Arial Rounded MT Bold" w:hAnsi="Arial Rounded MT Bold"/>
          <w:b/>
          <w:color w:val="0070C0"/>
          <w:sz w:val="24"/>
        </w:rPr>
        <w:t>Des</w:t>
      </w:r>
      <w:bookmarkStart w:id="1" w:name="_GoBack"/>
      <w:bookmarkEnd w:id="1"/>
      <w:r w:rsidR="002A508D" w:rsidRPr="002A508D">
        <w:rPr>
          <w:rFonts w:ascii="Arial Rounded MT Bold" w:hAnsi="Arial Rounded MT Bold"/>
          <w:b/>
          <w:color w:val="0070C0"/>
          <w:sz w:val="24"/>
        </w:rPr>
        <w:t>cripción taxonómica</w:t>
      </w:r>
    </w:p>
    <w:p w:rsidR="002A508D" w:rsidRPr="002A508D" w:rsidRDefault="002A508D" w:rsidP="002A508D">
      <w:r w:rsidRPr="002A508D">
        <w:rPr>
          <w:b/>
          <w:bCs/>
        </w:rPr>
        <w:t xml:space="preserve">Reino: </w:t>
      </w:r>
      <w:r w:rsidRPr="002A508D">
        <w:t xml:space="preserve">Animalia </w:t>
      </w:r>
    </w:p>
    <w:p w:rsidR="002A508D" w:rsidRPr="002A508D" w:rsidRDefault="002A508D" w:rsidP="002A508D">
      <w:pPr>
        <w:spacing w:after="60"/>
      </w:pPr>
      <w:r w:rsidRPr="002A508D">
        <w:rPr>
          <w:b/>
          <w:bCs/>
        </w:rPr>
        <w:t xml:space="preserve">  Phylum: </w:t>
      </w:r>
      <w:r w:rsidRPr="002A508D">
        <w:t xml:space="preserve">Arthropoda </w:t>
      </w:r>
    </w:p>
    <w:p w:rsidR="002A508D" w:rsidRPr="002A508D" w:rsidRDefault="002A508D" w:rsidP="002A508D">
      <w:pPr>
        <w:spacing w:after="60"/>
      </w:pPr>
      <w:r w:rsidRPr="002A508D">
        <w:rPr>
          <w:b/>
          <w:bCs/>
        </w:rPr>
        <w:t xml:space="preserve">    Clase: </w:t>
      </w:r>
      <w:r w:rsidR="00AF604A">
        <w:t>Insecta</w:t>
      </w:r>
    </w:p>
    <w:p w:rsidR="002A508D" w:rsidRPr="002A508D" w:rsidRDefault="002A508D" w:rsidP="002A508D">
      <w:pPr>
        <w:spacing w:after="60"/>
      </w:pPr>
      <w:r w:rsidRPr="002A508D">
        <w:rPr>
          <w:b/>
          <w:bCs/>
        </w:rPr>
        <w:t xml:space="preserve">      Orden: </w:t>
      </w:r>
      <w:r w:rsidR="00327045">
        <w:t>Hymenoptera</w:t>
      </w:r>
    </w:p>
    <w:p w:rsidR="002A508D" w:rsidRPr="002A508D" w:rsidRDefault="002A508D" w:rsidP="002A508D">
      <w:pPr>
        <w:spacing w:after="60"/>
      </w:pPr>
      <w:r w:rsidRPr="002A508D">
        <w:rPr>
          <w:b/>
          <w:bCs/>
        </w:rPr>
        <w:t xml:space="preserve">        Familia: </w:t>
      </w:r>
      <w:r w:rsidR="00327045">
        <w:t>Siricidae</w:t>
      </w:r>
    </w:p>
    <w:p w:rsidR="002A508D" w:rsidRPr="002A508D" w:rsidRDefault="00A40FE0" w:rsidP="002A508D">
      <w:pPr>
        <w:spacing w:after="60"/>
      </w:pPr>
      <w:r>
        <w:rPr>
          <w:b/>
          <w:bCs/>
          <w:noProof/>
          <w:lang w:eastAsia="es-MX"/>
        </w:rPr>
        <mc:AlternateContent>
          <mc:Choice Requires="wps">
            <w:drawing>
              <wp:anchor distT="0" distB="0" distL="114300" distR="114300" simplePos="0" relativeHeight="251660288" behindDoc="0" locked="0" layoutInCell="1" allowOverlap="1">
                <wp:simplePos x="0" y="0"/>
                <wp:positionH relativeFrom="column">
                  <wp:posOffset>2844165</wp:posOffset>
                </wp:positionH>
                <wp:positionV relativeFrom="paragraph">
                  <wp:posOffset>80010</wp:posOffset>
                </wp:positionV>
                <wp:extent cx="2628900" cy="3905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90525"/>
                        </a:xfrm>
                        <a:prstGeom prst="rect">
                          <a:avLst/>
                        </a:prstGeom>
                        <a:noFill/>
                        <a:ln w="9525">
                          <a:noFill/>
                          <a:miter lim="800000"/>
                          <a:headEnd/>
                          <a:tailEnd/>
                        </a:ln>
                      </wps:spPr>
                      <wps:txbx>
                        <w:txbxContent>
                          <w:p w:rsidR="00720936" w:rsidRPr="002A508D" w:rsidRDefault="00720936" w:rsidP="002A508D">
                            <w:pPr>
                              <w:spacing w:after="0"/>
                              <w:jc w:val="center"/>
                              <w:rPr>
                                <w:sz w:val="16"/>
                              </w:rPr>
                            </w:pPr>
                            <w:r>
                              <w:rPr>
                                <w:sz w:val="16"/>
                              </w:rPr>
                              <w:t xml:space="preserve">Adulto de </w:t>
                            </w:r>
                            <w:r w:rsidRPr="00720936">
                              <w:rPr>
                                <w:i/>
                                <w:sz w:val="16"/>
                              </w:rPr>
                              <w:t>Sirex noctilio</w:t>
                            </w:r>
                            <w:r>
                              <w:rPr>
                                <w:sz w:val="16"/>
                              </w:rPr>
                              <w:t xml:space="preserve"> Foto: Vicky Klasmer, Instituto Nacional de Tecnología Agropecuaria, Bugwood.org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23.95pt;margin-top:6.3pt;width:207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" filled="f" stroked="f">
                <v:textbox>
                  <w:txbxContent>
                    <w:p w:rsidR="00720936" w:rsidRPr="002A508D" w:rsidRDefault="00720936" w:rsidP="002A508D">
                      <w:pPr>
                        <w:spacing w:after="0"/>
                        <w:jc w:val="center"/>
                        <w:rPr>
                          <w:sz w:val="16"/>
                        </w:rPr>
                      </w:pPr>
                      <w:r>
                        <w:rPr>
                          <w:sz w:val="16"/>
                        </w:rPr>
                        <w:t xml:space="preserve">Adulto de </w:t>
                      </w:r>
                      <w:r w:rsidRPr="00720936">
                        <w:rPr>
                          <w:i/>
                          <w:sz w:val="16"/>
                        </w:rPr>
                        <w:t>Sirex noctilio</w:t>
                      </w:r>
                      <w:r>
                        <w:rPr>
                          <w:sz w:val="16"/>
                        </w:rPr>
                        <w:t xml:space="preserve"> Foto: Vicky Klasmer, Instituto Nacional de Tecnología Agropecuaria, Bugwood.org</w:t>
                      </w:r>
                    </w:p>
                  </w:txbxContent>
                </v:textbox>
              </v:shape>
            </w:pict>
          </mc:Fallback>
        </mc:AlternateContent>
      </w:r>
      <w:r w:rsidR="002A508D" w:rsidRPr="002A508D">
        <w:rPr>
          <w:b/>
          <w:bCs/>
        </w:rPr>
        <w:t xml:space="preserve">          Género: </w:t>
      </w:r>
      <w:r w:rsidR="00327045">
        <w:rPr>
          <w:i/>
          <w:iCs/>
        </w:rPr>
        <w:t>Sirex</w:t>
      </w:r>
    </w:p>
    <w:p w:rsidR="002A508D" w:rsidRPr="002A508D" w:rsidRDefault="002A508D" w:rsidP="002A508D">
      <w:r w:rsidRPr="002A508D">
        <w:rPr>
          <w:b/>
          <w:bCs/>
        </w:rPr>
        <w:t xml:space="preserve">             Especie: </w:t>
      </w:r>
      <w:r w:rsidR="00327045">
        <w:rPr>
          <w:i/>
          <w:iCs/>
        </w:rPr>
        <w:t>Sirex noctilio</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801BDF" w:rsidRDefault="00801BDF" w:rsidP="002A508D">
      <w:r>
        <w:t>Avispa de la madera del pino, Avispa, avispa europea, Avispa sirex, azul acero</w:t>
      </w:r>
      <w:r w:rsidR="002A23A4">
        <w:t>, Avispa barrenadora de pinos, Avispa taladradora de la madera.</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9C3D63" w:rsidRDefault="009C3D63" w:rsidP="00580448">
      <w:pPr>
        <w:jc w:val="both"/>
        <w:rPr>
          <w:rFonts w:cstheme="minorHAnsi"/>
          <w:i/>
          <w:bdr w:val="none" w:sz="0" w:space="0" w:color="auto" w:frame="1"/>
        </w:rPr>
      </w:pPr>
      <w:r>
        <w:rPr>
          <w:rFonts w:cstheme="minorHAnsi"/>
          <w:i/>
          <w:bdr w:val="none" w:sz="0" w:space="0" w:color="auto" w:frame="1"/>
        </w:rPr>
        <w:t>Paururus noctilio</w:t>
      </w:r>
    </w:p>
    <w:p w:rsidR="00580448" w:rsidRPr="00580448" w:rsidRDefault="00580448" w:rsidP="00580448">
      <w:pPr>
        <w:jc w:val="both"/>
        <w:rPr>
          <w:rFonts w:cstheme="minorHAnsi"/>
        </w:rPr>
      </w:pPr>
      <w:r w:rsidRPr="00CC4208">
        <w:rPr>
          <w:rFonts w:cstheme="minorHAnsi"/>
          <w:i/>
          <w:bdr w:val="none" w:sz="0" w:space="0" w:color="auto" w:frame="1"/>
        </w:rPr>
        <w:t>S. noctilio</w:t>
      </w:r>
      <w:r w:rsidRPr="00580448">
        <w:rPr>
          <w:rFonts w:cstheme="minorHAnsi"/>
          <w:bdr w:val="none" w:sz="0" w:space="0" w:color="auto" w:frame="1"/>
        </w:rPr>
        <w:t xml:space="preserve"> pertenece al orden de los</w:t>
      </w:r>
      <w:r w:rsidR="00736E1A">
        <w:rPr>
          <w:rFonts w:cstheme="minorHAnsi"/>
          <w:bdr w:val="none" w:sz="0" w:space="0" w:color="auto" w:frame="1"/>
        </w:rPr>
        <w:t xml:space="preserve"> himenópteros, familia</w:t>
      </w:r>
      <w:r w:rsidRPr="00580448">
        <w:rPr>
          <w:rFonts w:cstheme="minorHAnsi"/>
          <w:bdr w:val="none" w:sz="0" w:space="0" w:color="auto" w:frame="1"/>
        </w:rPr>
        <w:t xml:space="preserve"> </w:t>
      </w:r>
      <w:r w:rsidR="00736E1A">
        <w:rPr>
          <w:rFonts w:cstheme="minorHAnsi"/>
          <w:bdr w:val="none" w:sz="0" w:space="0" w:color="auto" w:frame="1"/>
        </w:rPr>
        <w:t>Siricidae</w:t>
      </w:r>
      <w:r w:rsidRPr="00580448">
        <w:rPr>
          <w:rFonts w:cstheme="minorHAnsi"/>
          <w:bdr w:val="none" w:sz="0" w:space="0" w:color="auto" w:frame="1"/>
        </w:rPr>
        <w:t>.</w:t>
      </w:r>
      <w:r w:rsidRPr="00580448">
        <w:rPr>
          <w:rStyle w:val="apple-converted-space"/>
          <w:rFonts w:cstheme="minorHAnsi"/>
          <w:bdr w:val="none" w:sz="0" w:space="0" w:color="auto" w:frame="1"/>
        </w:rPr>
        <w:t> </w:t>
      </w:r>
      <w:r w:rsidR="00CC4208">
        <w:rPr>
          <w:rFonts w:cstheme="minorHAnsi"/>
          <w:bdr w:val="none" w:sz="0" w:space="0" w:color="auto" w:frame="1"/>
        </w:rPr>
        <w:t>Siricidae</w:t>
      </w:r>
      <w:r w:rsidRPr="00580448">
        <w:rPr>
          <w:rFonts w:cstheme="minorHAnsi"/>
          <w:bdr w:val="none" w:sz="0" w:space="0" w:color="auto" w:frame="1"/>
        </w:rPr>
        <w:t xml:space="preserve"> se desarrollan dentro de los troncos de los árboles de varias especies y se conocen comúnmente como woodwasps o horntails.</w:t>
      </w:r>
      <w:r w:rsidRPr="00580448">
        <w:rPr>
          <w:rStyle w:val="apple-converted-space"/>
          <w:rFonts w:cstheme="minorHAnsi"/>
          <w:bdr w:val="none" w:sz="0" w:space="0" w:color="auto" w:frame="1"/>
        </w:rPr>
        <w:t> </w:t>
      </w:r>
      <w:r w:rsidRPr="00580448">
        <w:rPr>
          <w:rFonts w:cstheme="minorHAnsi"/>
          <w:bdr w:val="none" w:sz="0" w:space="0" w:color="auto" w:frame="1"/>
        </w:rPr>
        <w:t>Este grupo está asociado con coníferas y angiospermas de origen hemisférica norte (Smith, 1978).</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580448" w:rsidRPr="00580448" w:rsidRDefault="00580448" w:rsidP="002A508D">
      <w:pPr>
        <w:jc w:val="both"/>
        <w:rPr>
          <w:rFonts w:cstheme="minorHAnsi"/>
        </w:rPr>
      </w:pPr>
      <w:bookmarkStart w:id="2" w:name="_Hlk484693819"/>
      <w:r w:rsidRPr="00CF255F">
        <w:rPr>
          <w:rFonts w:cstheme="minorHAnsi"/>
          <w:i/>
          <w:bdr w:val="none" w:sz="0" w:space="0" w:color="auto" w:frame="1"/>
        </w:rPr>
        <w:t>S. noctilio</w:t>
      </w:r>
      <w:r w:rsidRPr="00580448">
        <w:rPr>
          <w:rFonts w:cstheme="minorHAnsi"/>
          <w:bdr w:val="none" w:sz="0" w:space="0" w:color="auto" w:frame="1"/>
        </w:rPr>
        <w:t xml:space="preserve"> es una plaga menor en sus regiones nativas de Europa, Asia y África del Norte.</w:t>
      </w:r>
      <w:r w:rsidRPr="00580448">
        <w:rPr>
          <w:rStyle w:val="apple-converted-space"/>
          <w:rFonts w:cstheme="minorHAnsi"/>
          <w:bdr w:val="none" w:sz="0" w:space="0" w:color="auto" w:frame="1"/>
        </w:rPr>
        <w:t> </w:t>
      </w:r>
      <w:r w:rsidRPr="00580448">
        <w:rPr>
          <w:rFonts w:cstheme="minorHAnsi"/>
          <w:bdr w:val="none" w:sz="0" w:space="0" w:color="auto" w:frame="1"/>
        </w:rPr>
        <w:t>Se ha convertido en la principal plaga en las plantaciones de pino en el que se ha introducido en países como Nueva Zelanda (1900), Australia (1951), Uruguay (1980), Argentina (1985), Brasil (1988) y,</w:t>
      </w:r>
      <w:r>
        <w:rPr>
          <w:rFonts w:cstheme="minorHAnsi"/>
          <w:bdr w:val="none" w:sz="0" w:space="0" w:color="auto" w:frame="1"/>
        </w:rPr>
        <w:t xml:space="preserve"> más recientemente, Sudáfrica (</w:t>
      </w:r>
      <w:r w:rsidRPr="00580448">
        <w:rPr>
          <w:rFonts w:cstheme="minorHAnsi"/>
          <w:bdr w:val="none" w:sz="0" w:space="0" w:color="auto" w:frame="1"/>
        </w:rPr>
        <w:t>1994) (Rawlings y Wilson, 1949; Gilb</w:t>
      </w:r>
      <w:r w:rsidR="003A05A5">
        <w:rPr>
          <w:rFonts w:cstheme="minorHAnsi"/>
          <w:bdr w:val="none" w:sz="0" w:space="0" w:color="auto" w:frame="1"/>
        </w:rPr>
        <w:t>ert y Miller, 1952; I</w:t>
      </w:r>
      <w:r w:rsidR="00346CC6">
        <w:rPr>
          <w:rFonts w:cstheme="minorHAnsi"/>
          <w:bdr w:val="none" w:sz="0" w:space="0" w:color="auto" w:frame="1"/>
        </w:rPr>
        <w:t xml:space="preserve">ede et al, 1988; </w:t>
      </w:r>
      <w:r w:rsidRPr="00580448">
        <w:rPr>
          <w:rFonts w:cstheme="minorHAnsi"/>
          <w:bdr w:val="none" w:sz="0" w:space="0" w:color="auto" w:frame="1"/>
        </w:rPr>
        <w:t>Rebuff</w:t>
      </w:r>
      <w:r w:rsidR="00DB1358">
        <w:rPr>
          <w:rFonts w:cstheme="minorHAnsi"/>
          <w:bdr w:val="none" w:sz="0" w:space="0" w:color="auto" w:frame="1"/>
        </w:rPr>
        <w:t xml:space="preserve">o, 1990; </w:t>
      </w:r>
      <w:r w:rsidR="00346CC6">
        <w:rPr>
          <w:rFonts w:cstheme="minorHAnsi"/>
          <w:bdr w:val="none" w:sz="0" w:space="0" w:color="auto" w:frame="1"/>
        </w:rPr>
        <w:t>Echeverría</w:t>
      </w:r>
      <w:r w:rsidR="00DB1358">
        <w:rPr>
          <w:rFonts w:cstheme="minorHAnsi"/>
          <w:bdr w:val="none" w:sz="0" w:space="0" w:color="auto" w:frame="1"/>
        </w:rPr>
        <w:t>, 1991; Tribu</w:t>
      </w:r>
      <w:r w:rsidRPr="00580448">
        <w:rPr>
          <w:rFonts w:cstheme="minorHAnsi"/>
          <w:bdr w:val="none" w:sz="0" w:space="0" w:color="auto" w:frame="1"/>
        </w:rPr>
        <w:t>, 1995).</w:t>
      </w:r>
      <w:r w:rsidRPr="00580448">
        <w:rPr>
          <w:rStyle w:val="apple-converted-space"/>
          <w:rFonts w:cstheme="minorHAnsi"/>
          <w:bdr w:val="none" w:sz="0" w:space="0" w:color="auto" w:frame="1"/>
        </w:rPr>
        <w:t> </w:t>
      </w:r>
      <w:r w:rsidRPr="00580448">
        <w:rPr>
          <w:rFonts w:cstheme="minorHAnsi"/>
          <w:bdr w:val="none" w:sz="0" w:space="0" w:color="auto" w:frame="1"/>
        </w:rPr>
        <w:t>En Chile</w:t>
      </w:r>
      <w:bookmarkEnd w:id="2"/>
      <w:r w:rsidRPr="00580448">
        <w:rPr>
          <w:rFonts w:cstheme="minorHAnsi"/>
          <w:bdr w:val="none" w:sz="0" w:space="0" w:color="auto" w:frame="1"/>
        </w:rPr>
        <w:t>, se detectó S. noctilio en enero de 2001 en un área sin plantaciones comerciales de pino radiata (Ciesla, 2003).</w:t>
      </w:r>
      <w:r w:rsidRPr="00580448">
        <w:rPr>
          <w:rStyle w:val="apple-converted-space"/>
          <w:rFonts w:cstheme="minorHAnsi"/>
          <w:bdr w:val="none" w:sz="0" w:space="0" w:color="auto" w:frame="1"/>
        </w:rPr>
        <w:t> </w:t>
      </w:r>
      <w:r w:rsidRPr="00580448">
        <w:rPr>
          <w:rFonts w:cstheme="minorHAnsi"/>
          <w:bdr w:val="none" w:sz="0" w:space="0" w:color="auto" w:frame="1"/>
        </w:rPr>
        <w:t>La plaga fue erradicada posteriormente, pero fue encontrado más tarde en Los Lagos y ahora se ha extendido a otras partes de Chile.</w:t>
      </w:r>
      <w:r w:rsidRPr="00580448">
        <w:rPr>
          <w:rStyle w:val="apple-converted-space"/>
          <w:rFonts w:cstheme="minorHAnsi"/>
          <w:bdr w:val="none" w:sz="0" w:space="0" w:color="auto" w:frame="1"/>
        </w:rPr>
        <w:t> </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615329" w:rsidRPr="00615329" w:rsidRDefault="00346CC6" w:rsidP="00615329">
      <w:pPr>
        <w:autoSpaceDE w:val="0"/>
        <w:autoSpaceDN w:val="0"/>
        <w:adjustRightInd w:val="0"/>
        <w:jc w:val="both"/>
        <w:rPr>
          <w:rFonts w:cstheme="minorHAnsi"/>
          <w:i/>
        </w:rPr>
      </w:pPr>
      <w:r w:rsidRPr="00615329">
        <w:rPr>
          <w:rFonts w:cstheme="minorHAnsi"/>
          <w:i/>
        </w:rPr>
        <w:t>Sirex noctilio</w:t>
      </w:r>
      <w:r w:rsidRPr="00615329">
        <w:rPr>
          <w:rFonts w:cstheme="minorHAnsi"/>
        </w:rPr>
        <w:t xml:space="preserve"> se encuantra ausente del país, pero e</w:t>
      </w:r>
      <w:r w:rsidRPr="00615329">
        <w:rPr>
          <w:rFonts w:cstheme="minorHAnsi"/>
          <w:bdr w:val="none" w:sz="0" w:space="0" w:color="auto" w:frame="1"/>
        </w:rPr>
        <w:t>sta plaga es una plaga cuarent</w:t>
      </w:r>
      <w:r w:rsidR="00615329" w:rsidRPr="00615329">
        <w:rPr>
          <w:rFonts w:cstheme="minorHAnsi"/>
          <w:bdr w:val="none" w:sz="0" w:space="0" w:color="auto" w:frame="1"/>
        </w:rPr>
        <w:t>enaria A1 para varias áreas: (</w:t>
      </w:r>
      <w:r w:rsidRPr="00615329">
        <w:rPr>
          <w:rFonts w:cstheme="minorHAnsi"/>
          <w:bdr w:val="none" w:sz="0" w:space="0" w:color="auto" w:frame="1"/>
        </w:rPr>
        <w:t>Kliejunas et al, 2001), por ejemplo, EE.UU., Japón y Canadá.</w:t>
      </w:r>
      <w:r w:rsidRPr="00615329">
        <w:rPr>
          <w:rStyle w:val="apple-converted-space"/>
          <w:rFonts w:cstheme="minorHAnsi"/>
          <w:bdr w:val="none" w:sz="0" w:space="0" w:color="auto" w:frame="1"/>
        </w:rPr>
        <w:t> </w:t>
      </w:r>
      <w:r w:rsidRPr="00615329">
        <w:rPr>
          <w:rFonts w:cstheme="minorHAnsi"/>
          <w:bdr w:val="none" w:sz="0" w:space="0" w:color="auto" w:frame="1"/>
        </w:rPr>
        <w:t>Estos países pueden requerir un certificado fitosanitario para la madera de pino.</w:t>
      </w:r>
      <w:r w:rsidRPr="00615329">
        <w:rPr>
          <w:rStyle w:val="apple-converted-space"/>
          <w:rFonts w:cstheme="minorHAnsi"/>
          <w:bdr w:val="none" w:sz="0" w:space="0" w:color="auto" w:frame="1"/>
        </w:rPr>
        <w:t> </w:t>
      </w:r>
      <w:r w:rsidRPr="00615329">
        <w:rPr>
          <w:rFonts w:cstheme="minorHAnsi"/>
          <w:bdr w:val="none" w:sz="0" w:space="0" w:color="auto" w:frame="1"/>
        </w:rPr>
        <w:t>Madera infestada sólo puede ser transportado fuera del área infectada una vez que ha sido tratado adecuadamente.</w:t>
      </w:r>
      <w:r w:rsidRPr="00615329">
        <w:rPr>
          <w:rStyle w:val="apple-converted-space"/>
          <w:rFonts w:cstheme="minorHAnsi"/>
          <w:bdr w:val="none" w:sz="0" w:space="0" w:color="auto" w:frame="1"/>
        </w:rPr>
        <w:t> </w:t>
      </w:r>
      <w:r w:rsidRPr="00615329">
        <w:rPr>
          <w:rFonts w:cstheme="minorHAnsi"/>
          <w:bdr w:val="none" w:sz="0" w:space="0" w:color="auto" w:frame="1"/>
        </w:rPr>
        <w:t xml:space="preserve">La madera </w:t>
      </w:r>
      <w:r w:rsidRPr="00615329">
        <w:rPr>
          <w:rFonts w:cstheme="minorHAnsi"/>
          <w:bdr w:val="none" w:sz="0" w:space="0" w:color="auto" w:frame="1"/>
        </w:rPr>
        <w:lastRenderedPageBreak/>
        <w:t xml:space="preserve">utilizada en SWPM debe estar libre de signos de actividad, daño o de insectos especímenes de </w:t>
      </w:r>
      <w:r w:rsidRPr="00615329">
        <w:rPr>
          <w:rFonts w:cstheme="minorHAnsi"/>
          <w:i/>
          <w:bdr w:val="none" w:sz="0" w:space="0" w:color="auto" w:frame="1"/>
        </w:rPr>
        <w:t>S. noctilio.</w:t>
      </w:r>
      <w:r w:rsidRPr="00615329">
        <w:rPr>
          <w:rStyle w:val="apple-converted-space"/>
          <w:rFonts w:cstheme="minorHAnsi"/>
          <w:i/>
          <w:bdr w:val="none" w:sz="0" w:space="0" w:color="auto" w:frame="1"/>
        </w:rPr>
        <w:t> </w:t>
      </w:r>
    </w:p>
    <w:p w:rsidR="002A508D" w:rsidRPr="00615329" w:rsidRDefault="00346CC6" w:rsidP="00615329">
      <w:pPr>
        <w:autoSpaceDE w:val="0"/>
        <w:autoSpaceDN w:val="0"/>
        <w:adjustRightInd w:val="0"/>
        <w:jc w:val="both"/>
        <w:rPr>
          <w:rFonts w:cstheme="minorHAnsi"/>
        </w:rPr>
      </w:pPr>
      <w:r w:rsidRPr="00615329">
        <w:rPr>
          <w:rFonts w:cstheme="minorHAnsi"/>
          <w:i/>
          <w:bdr w:val="none" w:sz="0" w:space="0" w:color="auto" w:frame="1"/>
        </w:rPr>
        <w:t>S. noctilio</w:t>
      </w:r>
      <w:r w:rsidRPr="00615329">
        <w:rPr>
          <w:rFonts w:cstheme="minorHAnsi"/>
          <w:bdr w:val="none" w:sz="0" w:space="0" w:color="auto" w:frame="1"/>
        </w:rPr>
        <w:t>, naturalmente, puede extenderse entre 30 y 50 km por año.</w:t>
      </w:r>
      <w:r w:rsidRPr="00615329">
        <w:rPr>
          <w:rStyle w:val="apple-converted-space"/>
          <w:rFonts w:cstheme="minorHAnsi"/>
          <w:bdr w:val="none" w:sz="0" w:space="0" w:color="auto" w:frame="1"/>
        </w:rPr>
        <w:t> </w:t>
      </w:r>
      <w:r w:rsidRPr="00615329">
        <w:rPr>
          <w:rFonts w:cstheme="minorHAnsi"/>
          <w:bdr w:val="none" w:sz="0" w:space="0" w:color="auto" w:frame="1"/>
        </w:rPr>
        <w:t>Sin embargo, el transporte de la madera de zonas atacadas a plantaciones donde la plaga no se detecta, aumenta la posibilidad de dispersión.</w:t>
      </w:r>
      <w:r w:rsidRPr="00615329">
        <w:rPr>
          <w:rStyle w:val="apple-converted-space"/>
          <w:rFonts w:cstheme="minorHAnsi"/>
          <w:bdr w:val="none" w:sz="0" w:space="0" w:color="auto" w:frame="1"/>
        </w:rPr>
        <w:t> </w:t>
      </w:r>
      <w:r w:rsidRPr="00615329">
        <w:rPr>
          <w:rFonts w:cstheme="minorHAnsi"/>
          <w:bdr w:val="none" w:sz="0" w:space="0" w:color="auto" w:frame="1"/>
        </w:rPr>
        <w:t xml:space="preserve">Esta es probablemente la forma en se introdujo </w:t>
      </w:r>
      <w:r w:rsidRPr="00615329">
        <w:rPr>
          <w:rFonts w:cstheme="minorHAnsi"/>
          <w:i/>
          <w:bdr w:val="none" w:sz="0" w:space="0" w:color="auto" w:frame="1"/>
        </w:rPr>
        <w:t>S. noctilio</w:t>
      </w:r>
      <w:r w:rsidRPr="00615329">
        <w:rPr>
          <w:rFonts w:cstheme="minorHAnsi"/>
          <w:bdr w:val="none" w:sz="0" w:space="0" w:color="auto" w:frame="1"/>
        </w:rPr>
        <w:t xml:space="preserve"> desde Uruguay a Brasil.</w:t>
      </w:r>
      <w:r w:rsidRPr="00615329">
        <w:rPr>
          <w:rStyle w:val="apple-converted-space"/>
          <w:rFonts w:cstheme="minorHAnsi"/>
          <w:bdr w:val="none" w:sz="0" w:space="0" w:color="auto" w:frame="1"/>
        </w:rPr>
        <w:t> </w:t>
      </w:r>
      <w:r w:rsidRPr="00615329">
        <w:rPr>
          <w:rFonts w:cstheme="minorHAnsi"/>
          <w:bdr w:val="none" w:sz="0" w:space="0" w:color="auto" w:frame="1"/>
        </w:rPr>
        <w:t>En consecuencia, la vigilancia de las zonas afectadas y la prohibición del transporte de madera a partir atacado a áreas no atacadas son las estrategias creadas para evitar la dispersión de plagas.</w:t>
      </w:r>
      <w:r w:rsidR="002A508D" w:rsidRPr="00615329">
        <w:rPr>
          <w:rFonts w:cstheme="minorHAnsi"/>
        </w:rPr>
        <w:t xml:space="preserve"> </w:t>
      </w: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r w:rsidR="002A508D">
        <w:rPr>
          <w:rFonts w:ascii="Arial Rounded MT Bold" w:hAnsi="Arial Rounded MT Bold"/>
          <w:b/>
          <w:color w:val="0070C0"/>
          <w:sz w:val="24"/>
        </w:rPr>
        <w:t xml:space="preserve"> y hospederos</w:t>
      </w:r>
    </w:p>
    <w:p w:rsidR="009C3D63" w:rsidRPr="00BE3FBE" w:rsidRDefault="009C3D63" w:rsidP="00615329">
      <w:pPr>
        <w:jc w:val="both"/>
      </w:pPr>
      <w:bookmarkStart w:id="3" w:name="_Hlk484690152"/>
      <w:r>
        <w:t xml:space="preserve">La avispa Sirex hembra infesta profundamente en arboles vivos y deposita sus huevos con su ovipositor junto con un hongo simbionte (Amylostereum areolatum) y el moco toxico. El moco inhibe las defensas del árbol, permitiendo que el hongo de la pudrición blanca </w:t>
      </w:r>
      <w:r w:rsidR="00BE3FBE">
        <w:t xml:space="preserve">cresca. Las larvas se llevó galerías de todo el árbol, se alimenta de los hongos. </w:t>
      </w:r>
      <w:r w:rsidR="00BE3FBE" w:rsidRPr="00615329">
        <w:rPr>
          <w:i/>
        </w:rPr>
        <w:t>S. noctilio</w:t>
      </w:r>
      <w:r w:rsidR="00BE3FBE">
        <w:rPr>
          <w:i/>
        </w:rPr>
        <w:t xml:space="preserve"> </w:t>
      </w:r>
      <w:r w:rsidR="00BE3FBE">
        <w:t xml:space="preserve">es atraído principalmente por arboles estresados y enfermos suprimidos. Algunas maderas blandas y todas las especies de pino se cree que están en riesgo de infestación (Madden 1994, Madden 1981, NYSDEC 2007). </w:t>
      </w:r>
    </w:p>
    <w:p w:rsidR="00615329" w:rsidRDefault="00615329" w:rsidP="00615329">
      <w:pPr>
        <w:jc w:val="both"/>
        <w:rPr>
          <w:rFonts w:cstheme="minorHAnsi"/>
          <w:shd w:val="clear" w:color="auto" w:fill="FFFFFF"/>
        </w:rPr>
      </w:pPr>
      <w:r>
        <w:t xml:space="preserve">Los pinos son los principales hospederos de </w:t>
      </w:r>
      <w:r w:rsidRPr="00615329">
        <w:rPr>
          <w:i/>
        </w:rPr>
        <w:t>S. noctilio</w:t>
      </w:r>
      <w:r>
        <w:t xml:space="preserve"> y la avispa puede completar su ciclo en varias especies. Entre los hospederos se tienen las siguientes especies de pinos</w:t>
      </w:r>
      <w:r w:rsidRPr="00615329">
        <w:rPr>
          <w:i/>
        </w:rPr>
        <w:t>: P. radiata, P. nigra calabrica, P. nigra austriaca, P. ponderosa, P. elliotii, P. patula, P. contorta, P. caribaea, P. pinaster, P. attenuata, P. muricata, P. banksiana, P. canariensis, P. densiflora, P. echinata, P. halepensis, P. jeffreyi, P. palustris, P. pinaster, P. pinea, P. brutia, P. sylvestris and P. taeda</w:t>
      </w:r>
      <w:r>
        <w:t xml:space="preserve">. (Cabi, 2006). </w:t>
      </w:r>
      <w:r w:rsidRPr="00615329">
        <w:rPr>
          <w:i/>
        </w:rPr>
        <w:t xml:space="preserve">Sirex noctilio </w:t>
      </w:r>
      <w:r>
        <w:t xml:space="preserve">también ha sido reportada en otros géneros de coníferas como </w:t>
      </w:r>
      <w:r w:rsidRPr="00615329">
        <w:rPr>
          <w:i/>
        </w:rPr>
        <w:t>Larix, Pseudotsuga, Pseudotsuga, Picea y Abies</w:t>
      </w:r>
      <w:r>
        <w:t>.</w:t>
      </w:r>
      <w:bookmarkEnd w:id="3"/>
      <w:r>
        <w:t xml:space="preserve"> Estos reportes son aislados y de menor importancia.</w:t>
      </w:r>
    </w:p>
    <w:p w:rsidR="00ED5868" w:rsidRPr="002A508D" w:rsidRDefault="00E25FA1"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602581" w:rsidRDefault="00BB655C" w:rsidP="00602581">
      <w:pPr>
        <w:jc w:val="both"/>
        <w:rPr>
          <w:lang w:val="es-ES_tradnl"/>
        </w:rPr>
      </w:pPr>
      <w:r w:rsidRPr="00BB655C">
        <w:drawing>
          <wp:anchor distT="0" distB="0" distL="114300" distR="114300" simplePos="0" relativeHeight="251621888" behindDoc="0" locked="0" layoutInCell="1" allowOverlap="1">
            <wp:simplePos x="0" y="0"/>
            <wp:positionH relativeFrom="column">
              <wp:posOffset>4463415</wp:posOffset>
            </wp:positionH>
            <wp:positionV relativeFrom="paragraph">
              <wp:posOffset>819150</wp:posOffset>
            </wp:positionV>
            <wp:extent cx="1129030" cy="1754505"/>
            <wp:effectExtent l="95250" t="95250" r="71120" b="74295"/>
            <wp:wrapThrough wrapText="bothSides">
              <wp:wrapPolygon edited="0">
                <wp:start x="-1822" y="-1173"/>
                <wp:lineTo x="-1822" y="22515"/>
                <wp:lineTo x="22961" y="22515"/>
                <wp:lineTo x="22961" y="-1173"/>
                <wp:lineTo x="-1822" y="-1173"/>
              </wp:wrapPolygon>
            </wp:wrapThrough>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 cstate="print">
                      <a:extLst>
                        <a:ext uri="{28A0092B-C50C-407E-A947-70E740481C1C}">
                          <a14:useLocalDpi xmlns:a14="http://schemas.microsoft.com/office/drawing/2010/main" val="0"/>
                        </a:ext>
                      </a:extLst>
                    </a:blip>
                    <a:srcRect l="30001" t="16348" r="42218" b="6834"/>
                    <a:stretch/>
                  </pic:blipFill>
                  <pic:spPr>
                    <a:xfrm>
                      <a:off x="0" y="0"/>
                      <a:ext cx="1129030" cy="17545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02581" w:rsidRPr="00602581">
        <w:rPr>
          <w:lang w:val="es-ES_tradnl"/>
        </w:rPr>
        <w:t>El ciclo biológico del insecto es generalmente de un año, sin embargo, puede variar de acuerdo a las condiciones climáticas. Cuando las condiciones son favorables para la plaga, vale decir, altas temperaturas y déficit hídrico, se pueden producir generaciones con un ciclo de vida más corto (dos o tres meses).  Por el contrario, cuando las condiciones son desfavorables, los huevos pueden permanecer en dormancia, generando ciclos de hasta dos o tres años.</w:t>
      </w:r>
    </w:p>
    <w:p w:rsidR="009F4604" w:rsidRPr="00BB655C" w:rsidRDefault="008E7852" w:rsidP="009F4604">
      <w:pPr>
        <w:pStyle w:val="Prrafodelista"/>
        <w:numPr>
          <w:ilvl w:val="0"/>
          <w:numId w:val="7"/>
        </w:numPr>
        <w:jc w:val="both"/>
        <w:rPr>
          <w:lang w:val="es-ES_tradnl"/>
        </w:rPr>
      </w:pPr>
      <w:r w:rsidRPr="00BA3A0B">
        <w:rPr>
          <w:b/>
          <w:lang w:val="es-ES_tradnl"/>
        </w:rPr>
        <w:t>Huevo. -</w:t>
      </w:r>
      <w:r>
        <w:rPr>
          <w:lang w:val="es-ES_tradnl"/>
        </w:rPr>
        <w:t xml:space="preserve">  </w:t>
      </w:r>
      <w:bookmarkStart w:id="4" w:name="_Hlk484689977"/>
      <w:r w:rsidR="00BB655C">
        <w:t xml:space="preserve">Los huevos </w:t>
      </w:r>
      <w:r>
        <w:t xml:space="preserve">miden 1,4 a 1,6 mm de largo por 0,30 mm de ancho, tienen forma elipsoide, de color blanco y superficie lisa. Generalmente las hembras los ovipositan en forma aislada o de a pares, los que son incubados en la madera por un período de 9 a 14 días. </w:t>
      </w:r>
      <w:bookmarkEnd w:id="4"/>
      <w:r>
        <w:t>Esta fase es factible encontrarla desde mediados de diciembre y hasta comienzos de abril. En condiciones desfavorables para la eclosión de las larvas los huevos pueden permanecer en dormancia varios meses.</w:t>
      </w:r>
    </w:p>
    <w:p w:rsidR="00BB655C" w:rsidRPr="00BB655C" w:rsidRDefault="00BB655C" w:rsidP="00BB655C">
      <w:pPr>
        <w:pStyle w:val="Prrafodelista"/>
        <w:ind w:left="360"/>
        <w:jc w:val="both"/>
        <w:rPr>
          <w:lang w:val="es-ES_tradnl"/>
        </w:rPr>
      </w:pPr>
    </w:p>
    <w:p w:rsidR="00BA3A0B" w:rsidRPr="00BA3A0B" w:rsidRDefault="00BB655C" w:rsidP="00BA3A0B">
      <w:pPr>
        <w:pStyle w:val="Prrafodelista"/>
        <w:numPr>
          <w:ilvl w:val="0"/>
          <w:numId w:val="7"/>
        </w:numPr>
        <w:jc w:val="both"/>
        <w:rPr>
          <w:lang w:val="es-ES_tradnl"/>
        </w:rPr>
      </w:pPr>
      <w:r w:rsidRPr="00BA3A0B">
        <w:rPr>
          <w:b/>
          <w:noProof/>
        </w:rPr>
        <w:drawing>
          <wp:anchor distT="0" distB="0" distL="114300" distR="114300" simplePos="0" relativeHeight="251605504" behindDoc="0" locked="0" layoutInCell="1" allowOverlap="1">
            <wp:simplePos x="0" y="0"/>
            <wp:positionH relativeFrom="column">
              <wp:posOffset>281940</wp:posOffset>
            </wp:positionH>
            <wp:positionV relativeFrom="paragraph">
              <wp:posOffset>53975</wp:posOffset>
            </wp:positionV>
            <wp:extent cx="2000250" cy="1499870"/>
            <wp:effectExtent l="95250" t="95250" r="76200" b="81280"/>
            <wp:wrapThrough wrapText="bothSides">
              <wp:wrapPolygon edited="0">
                <wp:start x="-1029" y="-1372"/>
                <wp:lineTo x="-1029" y="22771"/>
                <wp:lineTo x="22423" y="22771"/>
                <wp:lineTo x="22423" y="-1372"/>
                <wp:lineTo x="-1029" y="-1372"/>
              </wp:wrapPolygon>
            </wp:wrapThrough>
            <wp:docPr id="4" name="Imagen 4" descr="Resultado de imagen para sirex noct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rex noctil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4998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A3A0B">
        <w:rPr>
          <w:noProof/>
        </w:rPr>
        <w:drawing>
          <wp:anchor distT="0" distB="0" distL="114300" distR="114300" simplePos="0" relativeHeight="251619840" behindDoc="0" locked="0" layoutInCell="1" allowOverlap="1">
            <wp:simplePos x="0" y="0"/>
            <wp:positionH relativeFrom="column">
              <wp:posOffset>4538980</wp:posOffset>
            </wp:positionH>
            <wp:positionV relativeFrom="paragraph">
              <wp:posOffset>2052320</wp:posOffset>
            </wp:positionV>
            <wp:extent cx="923925" cy="1386205"/>
            <wp:effectExtent l="95250" t="95250" r="85725" b="80645"/>
            <wp:wrapThrough wrapText="bothSides">
              <wp:wrapPolygon edited="0">
                <wp:start x="-2227" y="-1484"/>
                <wp:lineTo x="-2227" y="22857"/>
                <wp:lineTo x="23604" y="22857"/>
                <wp:lineTo x="23604" y="-1484"/>
                <wp:lineTo x="-2227" y="-1484"/>
              </wp:wrapPolygon>
            </wp:wrapThrough>
            <wp:docPr id="6" name="Imagen 6" descr="Resultado de imagen para sirex noct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irex noctil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923925" cy="13862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E7852" w:rsidRPr="00BA3A0B">
        <w:rPr>
          <w:b/>
        </w:rPr>
        <w:t>Larvas. -</w:t>
      </w:r>
      <w:r w:rsidR="008E7852" w:rsidRPr="008E7852">
        <w:rPr>
          <w:rFonts w:cstheme="minorHAnsi"/>
        </w:rPr>
        <w:t xml:space="preserve"> </w:t>
      </w:r>
      <w:bookmarkStart w:id="5" w:name="_Hlk484690000"/>
      <w:r w:rsidR="008E7852" w:rsidRPr="008E7852">
        <w:rPr>
          <w:rFonts w:cstheme="minorHAnsi"/>
          <w:bdr w:val="none" w:sz="0" w:space="0" w:color="auto" w:frame="1"/>
        </w:rPr>
        <w:t xml:space="preserve">Las larvas son de color blanco cremoso, profundamente segmentado, en forma de S, por lo general y casi uniforme en diámetro, </w:t>
      </w:r>
      <w:r w:rsidR="008E7852" w:rsidRPr="008E7852">
        <w:rPr>
          <w:rFonts w:cstheme="minorHAnsi"/>
        </w:rPr>
        <w:t>alcanzan una longitud de hasta 30 mm, son cilindricas y de color blanco.</w:t>
      </w:r>
      <w:bookmarkEnd w:id="5"/>
      <w:r w:rsidR="008E7852" w:rsidRPr="008E7852">
        <w:rPr>
          <w:rFonts w:cstheme="minorHAnsi"/>
        </w:rPr>
        <w:t xml:space="preserve"> La cabeza es redonda con mandíbulas dentadas y antenas unisegmentadas; las patas torácicas son rudimentarias. El abdomen está libre de apéndices, y sólo presenta una espina supraanal esclerozada de color café oscuro, que conserva en todos sus estadios </w:t>
      </w:r>
      <w:r w:rsidR="008E7852" w:rsidRPr="008E7852">
        <w:rPr>
          <w:rFonts w:cstheme="minorHAnsi"/>
          <w:bdr w:val="none" w:sz="0" w:space="0" w:color="auto" w:frame="1"/>
        </w:rPr>
        <w:t>(Neumann et al., 1987)</w:t>
      </w:r>
      <w:r w:rsidR="008E7852" w:rsidRPr="008E7852">
        <w:rPr>
          <w:rFonts w:cstheme="minorHAnsi"/>
        </w:rPr>
        <w:t>.</w:t>
      </w:r>
    </w:p>
    <w:p w:rsidR="00BA3A0B" w:rsidRDefault="00BA3A0B" w:rsidP="00BA3A0B">
      <w:pPr>
        <w:pStyle w:val="Prrafodelista"/>
        <w:jc w:val="both"/>
        <w:rPr>
          <w:lang w:val="es-ES_tradnl"/>
        </w:rPr>
      </w:pPr>
    </w:p>
    <w:p w:rsidR="00BA3A0B" w:rsidRPr="00BA3A0B" w:rsidRDefault="00BA3A0B" w:rsidP="00BA3A0B">
      <w:pPr>
        <w:pStyle w:val="Prrafodelista"/>
        <w:jc w:val="both"/>
        <w:rPr>
          <w:lang w:val="es-ES_tradnl"/>
        </w:rPr>
      </w:pPr>
    </w:p>
    <w:p w:rsidR="008E7852" w:rsidRPr="00BA3A0B" w:rsidRDefault="008E7852" w:rsidP="008E7852">
      <w:pPr>
        <w:pStyle w:val="Prrafodelista"/>
        <w:numPr>
          <w:ilvl w:val="0"/>
          <w:numId w:val="7"/>
        </w:numPr>
        <w:jc w:val="both"/>
        <w:rPr>
          <w:lang w:val="es-ES_tradnl"/>
        </w:rPr>
      </w:pPr>
      <w:r w:rsidRPr="001172C5">
        <w:rPr>
          <w:rFonts w:cstheme="minorHAnsi"/>
          <w:b/>
        </w:rPr>
        <w:t xml:space="preserve">Pupas. </w:t>
      </w:r>
      <w:bookmarkStart w:id="6" w:name="_Hlk484690031"/>
      <w:r w:rsidRPr="001172C5">
        <w:rPr>
          <w:rFonts w:cstheme="minorHAnsi"/>
          <w:b/>
        </w:rPr>
        <w:t>-</w:t>
      </w:r>
      <w:r>
        <w:rPr>
          <w:rFonts w:cstheme="minorHAnsi"/>
        </w:rPr>
        <w:t xml:space="preserve"> </w:t>
      </w:r>
      <w:r>
        <w:t>Las prepupas y pupas son de coloración blanca marfil, y gradualmente van adquiriendo la coloración del adulto.</w:t>
      </w:r>
      <w:bookmarkEnd w:id="6"/>
      <w:r>
        <w:t xml:space="preserve"> La longitud promedio es de 25 mm </w:t>
      </w:r>
      <w:r w:rsidRPr="008E7852">
        <w:rPr>
          <w:rFonts w:cstheme="minorHAnsi"/>
          <w:bdr w:val="none" w:sz="0" w:space="0" w:color="auto" w:frame="1"/>
        </w:rPr>
        <w:t>(Neumann et al., 1987)</w:t>
      </w:r>
      <w:r w:rsidRPr="008E7852">
        <w:rPr>
          <w:rFonts w:cstheme="minorHAnsi"/>
        </w:rPr>
        <w:t>.</w:t>
      </w:r>
    </w:p>
    <w:p w:rsidR="00BA3A0B" w:rsidRDefault="00BA3A0B" w:rsidP="00BA3A0B">
      <w:pPr>
        <w:pStyle w:val="Prrafodelista"/>
        <w:jc w:val="both"/>
        <w:rPr>
          <w:lang w:val="es-ES_tradnl"/>
        </w:rPr>
      </w:pPr>
    </w:p>
    <w:p w:rsidR="00BA3A0B" w:rsidRPr="008E7852" w:rsidRDefault="00BA3A0B" w:rsidP="00BA3A0B">
      <w:pPr>
        <w:pStyle w:val="Prrafodelista"/>
        <w:jc w:val="both"/>
        <w:rPr>
          <w:lang w:val="es-ES_tradnl"/>
        </w:rPr>
      </w:pPr>
    </w:p>
    <w:p w:rsidR="008E7852" w:rsidRPr="008E7852" w:rsidRDefault="008E7852" w:rsidP="008E7852">
      <w:pPr>
        <w:pStyle w:val="Prrafodelista"/>
        <w:numPr>
          <w:ilvl w:val="0"/>
          <w:numId w:val="7"/>
        </w:numPr>
        <w:jc w:val="both"/>
        <w:rPr>
          <w:rFonts w:cstheme="minorHAnsi"/>
          <w:lang w:val="es-ES_tradnl"/>
        </w:rPr>
      </w:pPr>
      <w:r w:rsidRPr="001172C5">
        <w:rPr>
          <w:rFonts w:cstheme="minorHAnsi"/>
          <w:b/>
        </w:rPr>
        <w:t xml:space="preserve">Adultos. </w:t>
      </w:r>
      <w:bookmarkStart w:id="7" w:name="_Hlk484690085"/>
      <w:r w:rsidRPr="001172C5">
        <w:rPr>
          <w:rFonts w:cstheme="minorHAnsi"/>
          <w:b/>
        </w:rPr>
        <w:t>-</w:t>
      </w:r>
      <w:r w:rsidRPr="008E7852">
        <w:rPr>
          <w:rFonts w:cstheme="minorHAnsi"/>
        </w:rPr>
        <w:t xml:space="preserve"> </w:t>
      </w:r>
      <w:r w:rsidRPr="008E7852">
        <w:rPr>
          <w:rFonts w:cstheme="minorHAnsi"/>
          <w:bdr w:val="none" w:sz="0" w:space="0" w:color="auto" w:frame="1"/>
        </w:rPr>
        <w:t>El macho adulto es metálico azul oscuro, a excepción de los segmentos abdominales tres a siete.</w:t>
      </w:r>
      <w:bookmarkEnd w:id="7"/>
      <w:r w:rsidRPr="008E7852">
        <w:rPr>
          <w:rStyle w:val="apple-converted-space"/>
          <w:rFonts w:cstheme="minorHAnsi"/>
          <w:bdr w:val="none" w:sz="0" w:space="0" w:color="auto" w:frame="1"/>
        </w:rPr>
        <w:t> </w:t>
      </w:r>
      <w:r w:rsidRPr="008E7852">
        <w:rPr>
          <w:rFonts w:cstheme="minorHAnsi"/>
          <w:bdr w:val="none" w:sz="0" w:space="0" w:color="auto" w:frame="1"/>
        </w:rPr>
        <w:t>El frente y la mitad de las piernas son de color naranja-marrón, mientras que las patas traseras son espesados y negro.</w:t>
      </w:r>
      <w:r w:rsidRPr="008E7852">
        <w:rPr>
          <w:rStyle w:val="apple-converted-space"/>
          <w:rFonts w:cstheme="minorHAnsi"/>
          <w:bdr w:val="none" w:sz="0" w:space="0" w:color="auto" w:frame="1"/>
        </w:rPr>
        <w:t> </w:t>
      </w:r>
      <w:r w:rsidRPr="008E7852">
        <w:rPr>
          <w:rFonts w:cstheme="minorHAnsi"/>
          <w:bdr w:val="none" w:sz="0" w:space="0" w:color="auto" w:frame="1"/>
        </w:rPr>
        <w:t>Las alas son de color ámbar y 9,3 a 35 mm de largo.</w:t>
      </w:r>
      <w:r w:rsidRPr="008E7852">
        <w:rPr>
          <w:rStyle w:val="apple-converted-space"/>
          <w:rFonts w:cstheme="minorHAnsi"/>
          <w:bdr w:val="none" w:sz="0" w:space="0" w:color="auto" w:frame="1"/>
        </w:rPr>
        <w:t> </w:t>
      </w:r>
      <w:r w:rsidRPr="008E7852">
        <w:rPr>
          <w:rFonts w:cstheme="minorHAnsi"/>
          <w:bdr w:val="none" w:sz="0" w:space="0" w:color="auto" w:frame="1"/>
        </w:rPr>
        <w:t>Las antenas tienen 20 segmentos y son 6,8 mm de largo (Neumann et al., 1987).</w:t>
      </w:r>
      <w:r w:rsidRPr="008E7852">
        <w:rPr>
          <w:rStyle w:val="apple-converted-space"/>
          <w:rFonts w:cstheme="minorHAnsi"/>
          <w:bdr w:val="none" w:sz="0" w:space="0" w:color="auto" w:frame="1"/>
        </w:rPr>
        <w:t> </w:t>
      </w:r>
    </w:p>
    <w:p w:rsidR="008E7852" w:rsidRPr="008E7852" w:rsidRDefault="00BA3A0B" w:rsidP="008E7852">
      <w:pPr>
        <w:pStyle w:val="Prrafodelista"/>
        <w:jc w:val="both"/>
        <w:rPr>
          <w:rFonts w:cstheme="minorHAnsi"/>
        </w:rPr>
      </w:pPr>
      <w:r>
        <w:rPr>
          <w:noProof/>
        </w:rPr>
        <w:drawing>
          <wp:anchor distT="0" distB="0" distL="114300" distR="114300" simplePos="0" relativeHeight="251610624" behindDoc="0" locked="0" layoutInCell="1" allowOverlap="1">
            <wp:simplePos x="0" y="0"/>
            <wp:positionH relativeFrom="column">
              <wp:posOffset>310515</wp:posOffset>
            </wp:positionH>
            <wp:positionV relativeFrom="paragraph">
              <wp:posOffset>258445</wp:posOffset>
            </wp:positionV>
            <wp:extent cx="3067050" cy="1457325"/>
            <wp:effectExtent l="95250" t="95250" r="76200" b="85725"/>
            <wp:wrapThrough wrapText="bothSides">
              <wp:wrapPolygon edited="0">
                <wp:start x="-671" y="-1412"/>
                <wp:lineTo x="-671" y="22871"/>
                <wp:lineTo x="22137" y="22871"/>
                <wp:lineTo x="22137" y="-1412"/>
                <wp:lineTo x="-671" y="-1412"/>
              </wp:wrapPolygon>
            </wp:wrapThrough>
            <wp:docPr id="5" name="Imagen 5" descr="Resultado de imagen para sirex noct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irex noctil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14573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E7852" w:rsidRPr="008E7852">
        <w:rPr>
          <w:rFonts w:cstheme="minorHAnsi"/>
          <w:bdr w:val="none" w:sz="0" w:space="0" w:color="auto" w:frame="1"/>
        </w:rPr>
        <w:t xml:space="preserve">La </w:t>
      </w:r>
      <w:bookmarkStart w:id="8" w:name="_Hlk484690110"/>
      <w:r w:rsidR="008E7852" w:rsidRPr="008E7852">
        <w:rPr>
          <w:rFonts w:cstheme="minorHAnsi"/>
          <w:bdr w:val="none" w:sz="0" w:space="0" w:color="auto" w:frame="1"/>
        </w:rPr>
        <w:t>hembra adulta es de color azul metálico oscuro por todas partes, a excepción de las alas y las patas, que son de color ámbar.</w:t>
      </w:r>
      <w:r w:rsidR="008E7852" w:rsidRPr="008E7852">
        <w:rPr>
          <w:rStyle w:val="apple-converted-space"/>
          <w:rFonts w:cstheme="minorHAnsi"/>
          <w:bdr w:val="none" w:sz="0" w:space="0" w:color="auto" w:frame="1"/>
        </w:rPr>
        <w:t> </w:t>
      </w:r>
      <w:bookmarkEnd w:id="8"/>
      <w:r w:rsidR="008E7852" w:rsidRPr="008E7852">
        <w:rPr>
          <w:rFonts w:cstheme="minorHAnsi"/>
          <w:bdr w:val="none" w:sz="0" w:space="0" w:color="auto" w:frame="1"/>
        </w:rPr>
        <w:t>Una funda protege el ovipositor, que se proyecta de 2 a 3 mm más allá del abdomen.</w:t>
      </w:r>
      <w:r w:rsidR="008E7852" w:rsidRPr="008E7852">
        <w:rPr>
          <w:rStyle w:val="apple-converted-space"/>
          <w:rFonts w:cstheme="minorHAnsi"/>
          <w:bdr w:val="none" w:sz="0" w:space="0" w:color="auto" w:frame="1"/>
        </w:rPr>
        <w:t> </w:t>
      </w:r>
      <w:r w:rsidR="008E7852" w:rsidRPr="008E7852">
        <w:rPr>
          <w:rFonts w:cstheme="minorHAnsi"/>
          <w:bdr w:val="none" w:sz="0" w:space="0" w:color="auto" w:frame="1"/>
        </w:rPr>
        <w:t>El cuerpo es de 12 a 34 mm de largo.</w:t>
      </w:r>
      <w:r w:rsidR="008E7852" w:rsidRPr="008E7852">
        <w:rPr>
          <w:rStyle w:val="apple-converted-space"/>
          <w:rFonts w:cstheme="minorHAnsi"/>
          <w:bdr w:val="none" w:sz="0" w:space="0" w:color="auto" w:frame="1"/>
        </w:rPr>
        <w:t> </w:t>
      </w:r>
      <w:r w:rsidR="008E7852" w:rsidRPr="008E7852">
        <w:rPr>
          <w:rFonts w:cstheme="minorHAnsi"/>
          <w:bdr w:val="none" w:sz="0" w:space="0" w:color="auto" w:frame="1"/>
        </w:rPr>
        <w:t>Las antenas tienen 21 segmentos y son de 7,8 mm de largo (Neumann et al., 1987).</w:t>
      </w:r>
      <w:r w:rsidR="008E7852" w:rsidRPr="008E7852">
        <w:rPr>
          <w:rStyle w:val="apple-converted-space"/>
          <w:rFonts w:cstheme="minorHAnsi"/>
          <w:bdr w:val="none" w:sz="0" w:space="0" w:color="auto" w:frame="1"/>
        </w:rPr>
        <w:t> </w:t>
      </w:r>
    </w:p>
    <w:p w:rsidR="00E25FA1" w:rsidRPr="00BB655C" w:rsidRDefault="008E7852" w:rsidP="00E25FA1">
      <w:pPr>
        <w:jc w:val="both"/>
        <w:rPr>
          <w:rFonts w:cstheme="minorHAnsi"/>
        </w:rPr>
      </w:pPr>
      <w:r w:rsidRPr="00BB655C">
        <w:rPr>
          <w:rFonts w:cstheme="minorHAnsi"/>
          <w:bdr w:val="none" w:sz="0" w:space="0" w:color="auto" w:frame="1"/>
        </w:rPr>
        <w:t>Una columna vertebral prominente está presente en el segmento abdominal final en ambos sexos.</w:t>
      </w:r>
      <w:r w:rsidRPr="00BB655C">
        <w:rPr>
          <w:rFonts w:cstheme="minorHAnsi"/>
        </w:rPr>
        <w:t xml:space="preserve"> </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BE3FBE" w:rsidRDefault="00BE3FBE" w:rsidP="00BE3FBE">
      <w:pPr>
        <w:jc w:val="both"/>
        <w:rPr>
          <w:rFonts w:eastAsia="Times New Roman" w:cstheme="minorHAnsi"/>
          <w:lang w:eastAsia="es-MX"/>
        </w:rPr>
      </w:pPr>
      <w:r w:rsidRPr="009E6F32">
        <w:rPr>
          <w:rFonts w:eastAsia="Times New Roman" w:cstheme="minorHAnsi"/>
          <w:lang w:eastAsia="es-MX"/>
        </w:rPr>
        <w:t>La capacidad de matar al árbol huésped con el hongo y el veneno distingue </w:t>
      </w:r>
      <w:r w:rsidRPr="009E6F32">
        <w:rPr>
          <w:rFonts w:eastAsia="Times New Roman" w:cstheme="minorHAnsi"/>
          <w:i/>
          <w:iCs/>
          <w:lang w:eastAsia="es-MX"/>
        </w:rPr>
        <w:t>Sirex noctilio</w:t>
      </w:r>
      <w:r w:rsidRPr="009E6F32">
        <w:rPr>
          <w:rFonts w:eastAsia="Times New Roman" w:cstheme="minorHAnsi"/>
          <w:lang w:eastAsia="es-MX"/>
        </w:rPr>
        <w:t> </w:t>
      </w:r>
      <w:r>
        <w:rPr>
          <w:rFonts w:eastAsia="Times New Roman" w:cstheme="minorHAnsi"/>
          <w:lang w:eastAsia="es-MX"/>
        </w:rPr>
        <w:t xml:space="preserve">de otros siricidae </w:t>
      </w:r>
      <w:r w:rsidRPr="009E6F32">
        <w:rPr>
          <w:rFonts w:eastAsia="Times New Roman" w:cstheme="minorHAnsi"/>
          <w:lang w:eastAsia="es-MX"/>
        </w:rPr>
        <w:t>y es la razón por la cual </w:t>
      </w:r>
      <w:r w:rsidRPr="009E6F32">
        <w:rPr>
          <w:rFonts w:eastAsia="Times New Roman" w:cstheme="minorHAnsi"/>
          <w:i/>
          <w:iCs/>
          <w:lang w:eastAsia="es-MX"/>
        </w:rPr>
        <w:t>Sirex noctilio</w:t>
      </w:r>
      <w:r w:rsidRPr="009E6F32">
        <w:rPr>
          <w:rFonts w:eastAsia="Times New Roman" w:cstheme="minorHAnsi"/>
          <w:lang w:eastAsia="es-MX"/>
        </w:rPr>
        <w:t> es una de las principales plagas de algunos anfitriones mientras que la mayoría de los otros no so</w:t>
      </w:r>
      <w:r>
        <w:rPr>
          <w:rFonts w:eastAsia="Times New Roman" w:cstheme="minorHAnsi"/>
          <w:lang w:eastAsia="es-MX"/>
        </w:rPr>
        <w:t>n woodwasps</w:t>
      </w:r>
      <w:r w:rsidRPr="009E6F32">
        <w:rPr>
          <w:rFonts w:eastAsia="Times New Roman" w:cstheme="minorHAnsi"/>
          <w:lang w:eastAsia="es-MX"/>
        </w:rPr>
        <w:t>. </w:t>
      </w:r>
      <w:r w:rsidRPr="009E6F32">
        <w:rPr>
          <w:rFonts w:eastAsia="Times New Roman" w:cstheme="minorHAnsi"/>
          <w:i/>
          <w:iCs/>
          <w:lang w:eastAsia="es-MX"/>
        </w:rPr>
        <w:t>Sirex noctilio</w:t>
      </w:r>
      <w:r w:rsidRPr="009E6F32">
        <w:rPr>
          <w:rFonts w:eastAsia="Times New Roman" w:cstheme="minorHAnsi"/>
          <w:lang w:eastAsia="es-MX"/>
        </w:rPr>
        <w:t> ha causado un daño económico significativo en el hemisf</w:t>
      </w:r>
      <w:r>
        <w:rPr>
          <w:rFonts w:eastAsia="Times New Roman" w:cstheme="minorHAnsi"/>
          <w:lang w:eastAsia="es-MX"/>
        </w:rPr>
        <w:t>erio sur</w:t>
      </w:r>
      <w:r w:rsidRPr="009E6F32">
        <w:rPr>
          <w:rFonts w:eastAsia="Times New Roman" w:cstheme="minorHAnsi"/>
          <w:lang w:eastAsia="es-MX"/>
        </w:rPr>
        <w:t>. En el noreste de Estados Unidos y el sur de Canadá, </w:t>
      </w:r>
      <w:r w:rsidRPr="009E6F32">
        <w:rPr>
          <w:rFonts w:eastAsia="Times New Roman" w:cstheme="minorHAnsi"/>
          <w:i/>
          <w:iCs/>
          <w:lang w:eastAsia="es-MX"/>
        </w:rPr>
        <w:t>Sirex noctilio</w:t>
      </w:r>
      <w:r w:rsidRPr="009E6F32">
        <w:rPr>
          <w:rFonts w:eastAsia="Times New Roman" w:cstheme="minorHAnsi"/>
          <w:lang w:eastAsia="es-MX"/>
        </w:rPr>
        <w:t> parece haberse unido a la comunidad nativa del tesoro, la utilización</w:t>
      </w:r>
      <w:r>
        <w:rPr>
          <w:rFonts w:eastAsia="Times New Roman" w:cstheme="minorHAnsi"/>
          <w:lang w:eastAsia="es-MX"/>
        </w:rPr>
        <w:t xml:space="preserve"> de </w:t>
      </w:r>
      <w:r w:rsidRPr="009E6F32">
        <w:rPr>
          <w:rFonts w:eastAsia="Times New Roman" w:cstheme="minorHAnsi"/>
          <w:lang w:eastAsia="es-MX"/>
        </w:rPr>
        <w:lastRenderedPageBreak/>
        <w:t>árboles estresados y muertos como hábitat reproductivo. En algunos casos, grandes árboles aparentemente sanos fueron colonizados, pero a una frecuencia más baja que los árboles suprimidos más pequeños (Dodds et al., 2010). </w:t>
      </w:r>
      <w:r w:rsidRPr="009E6F32">
        <w:rPr>
          <w:rFonts w:eastAsia="Times New Roman" w:cstheme="minorHAnsi"/>
          <w:i/>
          <w:iCs/>
          <w:lang w:eastAsia="es-MX"/>
        </w:rPr>
        <w:t>Sirex noctilio</w:t>
      </w:r>
      <w:r w:rsidRPr="009E6F32">
        <w:rPr>
          <w:rFonts w:eastAsia="Times New Roman" w:cstheme="minorHAnsi"/>
          <w:lang w:eastAsia="es-MX"/>
        </w:rPr>
        <w:t> no parece ser la causa de mortalidad de los árboles excesiva en este punto, y es difícil evaluar su potencial de daños en América del Norte.</w:t>
      </w:r>
    </w:p>
    <w:p w:rsidR="00BE3FBE" w:rsidRDefault="00BE3FBE" w:rsidP="00BE3FBE">
      <w:pPr>
        <w:jc w:val="both"/>
        <w:rPr>
          <w:rFonts w:eastAsia="Times New Roman" w:cstheme="minorHAnsi"/>
          <w:lang w:eastAsia="es-MX"/>
        </w:rPr>
      </w:pPr>
      <w:r>
        <w:rPr>
          <w:rFonts w:ascii="Times New Roman" w:hAnsi="Times New Roman" w:cs="Times New Roman"/>
          <w:noProof/>
          <w:sz w:val="24"/>
          <w:szCs w:val="24"/>
        </w:rPr>
        <w:drawing>
          <wp:anchor distT="0" distB="0" distL="114300" distR="114300" simplePos="0" relativeHeight="251702784" behindDoc="1" locked="0" layoutInCell="1" allowOverlap="1">
            <wp:simplePos x="0" y="0"/>
            <wp:positionH relativeFrom="column">
              <wp:posOffset>3987165</wp:posOffset>
            </wp:positionH>
            <wp:positionV relativeFrom="paragraph">
              <wp:posOffset>1151255</wp:posOffset>
            </wp:positionV>
            <wp:extent cx="1620520" cy="2219325"/>
            <wp:effectExtent l="95250" t="95250" r="74930" b="66675"/>
            <wp:wrapNone/>
            <wp:docPr id="9" name="Imagen 9" descr="Resize of IMGP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 of IMGP16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520" cy="22193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0" locked="0" layoutInCell="1" allowOverlap="1">
            <wp:simplePos x="0" y="0"/>
            <wp:positionH relativeFrom="column">
              <wp:posOffset>1834515</wp:posOffset>
            </wp:positionH>
            <wp:positionV relativeFrom="paragraph">
              <wp:posOffset>1438275</wp:posOffset>
            </wp:positionV>
            <wp:extent cx="1955165" cy="1552575"/>
            <wp:effectExtent l="95250" t="95250" r="83185" b="85725"/>
            <wp:wrapTopAndBottom/>
            <wp:docPr id="10" name="Imagen 10" descr="orificios de salida en Sirex noctilio Fabricius de Pinus taeda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ficios de salida en Sirex noctilio Fabricius de Pinus taeda 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165" cy="15525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9E6F32">
        <w:rPr>
          <w:rFonts w:eastAsia="Times New Roman" w:cstheme="minorHAnsi"/>
          <w:lang w:eastAsia="es-MX"/>
        </w:rPr>
        <w:t>La historia de la expansión mundial de </w:t>
      </w:r>
      <w:r w:rsidRPr="009E6F32">
        <w:rPr>
          <w:rFonts w:eastAsia="Times New Roman" w:cstheme="minorHAnsi"/>
          <w:i/>
          <w:iCs/>
          <w:lang w:eastAsia="es-MX"/>
        </w:rPr>
        <w:t>Sirex noctilio</w:t>
      </w:r>
      <w:r w:rsidRPr="009E6F32">
        <w:rPr>
          <w:rFonts w:eastAsia="Times New Roman" w:cstheme="minorHAnsi"/>
          <w:lang w:eastAsia="es-MX"/>
        </w:rPr>
        <w:t> refleja un patrón complejo de las presentaciones que se han producido varias veces y de diversas</w:t>
      </w:r>
      <w:r>
        <w:rPr>
          <w:rFonts w:eastAsia="Times New Roman" w:cstheme="minorHAnsi"/>
          <w:lang w:eastAsia="es-MX"/>
        </w:rPr>
        <w:t xml:space="preserve"> fuentes</w:t>
      </w:r>
      <w:r w:rsidRPr="009E6F32">
        <w:rPr>
          <w:rFonts w:eastAsia="Times New Roman" w:cstheme="minorHAnsi"/>
          <w:lang w:eastAsia="es-MX"/>
        </w:rPr>
        <w:t>. A pesar de los sistemas de cuarentena, </w:t>
      </w:r>
      <w:r w:rsidRPr="009E6F32">
        <w:rPr>
          <w:rFonts w:eastAsia="Times New Roman" w:cstheme="minorHAnsi"/>
          <w:i/>
          <w:iCs/>
          <w:lang w:eastAsia="es-MX"/>
        </w:rPr>
        <w:t>Sirex noctilio</w:t>
      </w:r>
      <w:r w:rsidRPr="009E6F32">
        <w:rPr>
          <w:rFonts w:eastAsia="Times New Roman" w:cstheme="minorHAnsi"/>
          <w:lang w:eastAsia="es-MX"/>
        </w:rPr>
        <w:t xml:space="preserve"> ha seguido propagándose. Por lo tanto, habrá que esperar nuevas introducciones y reintroducciones de la avispa, que incluye desde </w:t>
      </w:r>
      <w:r>
        <w:rPr>
          <w:rFonts w:eastAsia="Times New Roman" w:cstheme="minorHAnsi"/>
          <w:lang w:eastAsia="es-MX"/>
        </w:rPr>
        <w:t>la parte posterior no nativa</w:t>
      </w:r>
      <w:r w:rsidRPr="009E6F32">
        <w:rPr>
          <w:rFonts w:eastAsia="Times New Roman" w:cstheme="minorHAnsi"/>
          <w:lang w:eastAsia="es-MX"/>
        </w:rPr>
        <w:t xml:space="preserve"> a las</w:t>
      </w:r>
      <w:r>
        <w:rPr>
          <w:rFonts w:eastAsia="Times New Roman" w:cstheme="minorHAnsi"/>
          <w:lang w:eastAsia="es-MX"/>
        </w:rPr>
        <w:t xml:space="preserve"> áreas nativas.</w:t>
      </w:r>
    </w:p>
    <w:p w:rsidR="00BE3FBE" w:rsidRDefault="00BE3FBE" w:rsidP="00BE3FBE">
      <w:pPr>
        <w:rPr>
          <w:noProof/>
          <w:lang w:eastAsia="es-MX"/>
        </w:rPr>
      </w:pPr>
      <w:r>
        <w:rPr>
          <w:noProof/>
        </w:rPr>
        <w:drawing>
          <wp:anchor distT="0" distB="0" distL="114300" distR="114300" simplePos="0" relativeHeight="251659776" behindDoc="0" locked="0" layoutInCell="1" allowOverlap="1">
            <wp:simplePos x="0" y="0"/>
            <wp:positionH relativeFrom="column">
              <wp:posOffset>-41910</wp:posOffset>
            </wp:positionH>
            <wp:positionV relativeFrom="paragraph">
              <wp:posOffset>50165</wp:posOffset>
            </wp:positionV>
            <wp:extent cx="1666381" cy="2219325"/>
            <wp:effectExtent l="95250" t="95250" r="67310" b="66675"/>
            <wp:wrapNone/>
            <wp:docPr id="8" name="Imagen 8" descr="Plantas%20afec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as%20afectad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381" cy="22193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E3FBE" w:rsidRDefault="00BE3FBE" w:rsidP="00BE3FBE">
      <w:pPr>
        <w:rPr>
          <w:noProof/>
          <w:lang w:eastAsia="es-MX"/>
        </w:rPr>
      </w:pPr>
    </w:p>
    <w:p w:rsidR="007404EA" w:rsidRPr="007404EA" w:rsidRDefault="007404EA" w:rsidP="007404EA">
      <w:pPr>
        <w:pStyle w:val="Prrafodelista"/>
        <w:numPr>
          <w:ilvl w:val="0"/>
          <w:numId w:val="1"/>
        </w:numPr>
        <w:rPr>
          <w:rFonts w:ascii="Arial Rounded MT Bold" w:hAnsi="Arial Rounded MT Bold"/>
          <w:b/>
          <w:color w:val="0070C0"/>
          <w:sz w:val="24"/>
        </w:rPr>
      </w:pPr>
      <w:r w:rsidRPr="007404EA">
        <w:rPr>
          <w:rFonts w:ascii="Arial Rounded MT Bold" w:hAnsi="Arial Rounded MT Bold"/>
          <w:b/>
          <w:color w:val="0070C0"/>
          <w:sz w:val="24"/>
        </w:rPr>
        <w:t>Distribución y alerta</w:t>
      </w:r>
    </w:p>
    <w:p w:rsidR="007404EA" w:rsidRPr="00BE3FBE" w:rsidRDefault="00BE3FBE" w:rsidP="00BE3FBE">
      <w:r>
        <w:t xml:space="preserve">La avispa Sirex es nativa de Europa, Asia y del Norte de Africa, donde no se considera una plaga. Sin embargo, ha causado daños a los </w:t>
      </w:r>
      <w:r w:rsidR="00DB347D">
        <w:t>árboles</w:t>
      </w:r>
      <w:r>
        <w:t xml:space="preserve"> en el hemisferio sur, donde se ha introducido. Fue</w:t>
      </w:r>
      <w:r w:rsidR="00DB347D">
        <w:t xml:space="preserve"> introducido por primera vez en Nueva Zelanda 1900 y luego en Australia 1951, seguido por Uruguay, Argentina, Brasil, Africa del Sur y Chile. En 2004 un individuo se registró en el norte del Estado de Nueva York. Posteriormente se ha extendido en el noroeste y medio oeste de Estados Unidos (Connecticut, Michigan, Nueva Jersey, Nueva York, Ohio, Pensilvania y Vermont) y el suroeste de Canada (Ayeres et al. 2014, Hoebecke et al 2005).</w:t>
      </w:r>
    </w:p>
    <w:p w:rsidR="000D2070" w:rsidRDefault="0064240A" w:rsidP="0064240A">
      <w:pPr>
        <w:jc w:val="center"/>
      </w:pPr>
      <w:r w:rsidRPr="0064240A">
        <w:lastRenderedPageBreak/>
        <w:drawing>
          <wp:inline distT="0" distB="0" distL="0" distR="0" wp14:anchorId="69344B6A" wp14:editId="707A6C23">
            <wp:extent cx="5612130" cy="3314700"/>
            <wp:effectExtent l="95250" t="95250" r="83820" b="7620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3"/>
                    <a:srcRect l="7153" t="16349" r="28346" b="15881"/>
                    <a:stretch/>
                  </pic:blipFill>
                  <pic:spPr>
                    <a:xfrm>
                      <a:off x="0" y="0"/>
                      <a:ext cx="5612130" cy="3314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A05A5" w:rsidRPr="003A05A5" w:rsidRDefault="003A05A5" w:rsidP="003A05A5">
      <w:pPr>
        <w:jc w:val="both"/>
        <w:rPr>
          <w:rFonts w:cstheme="minorHAnsi"/>
        </w:rPr>
      </w:pPr>
      <w:r w:rsidRPr="003A05A5">
        <w:rPr>
          <w:rFonts w:cstheme="minorHAnsi"/>
          <w:i/>
          <w:bdr w:val="none" w:sz="0" w:space="0" w:color="auto" w:frame="1"/>
        </w:rPr>
        <w:t>Siricidae</w:t>
      </w:r>
      <w:r w:rsidRPr="003A05A5">
        <w:rPr>
          <w:rFonts w:cstheme="minorHAnsi"/>
          <w:bdr w:val="none" w:sz="0" w:space="0" w:color="auto" w:frame="1"/>
        </w:rPr>
        <w:t xml:space="preserve"> suelen ser interceptado en puertos de entrada en América del Sur (Chile) y América del Norte (Haack y Cavey, 2000).</w:t>
      </w:r>
      <w:r w:rsidRPr="003A05A5">
        <w:rPr>
          <w:rStyle w:val="apple-converted-space"/>
          <w:rFonts w:cstheme="minorHAnsi"/>
          <w:bdr w:val="none" w:sz="0" w:space="0" w:color="auto" w:frame="1"/>
        </w:rPr>
        <w:t> </w:t>
      </w:r>
    </w:p>
    <w:p w:rsidR="003A05A5" w:rsidRPr="003A05A5" w:rsidRDefault="003A05A5" w:rsidP="003A05A5">
      <w:pPr>
        <w:jc w:val="both"/>
        <w:rPr>
          <w:rFonts w:cstheme="minorHAnsi"/>
        </w:rPr>
      </w:pPr>
      <w:r w:rsidRPr="003A05A5">
        <w:rPr>
          <w:rFonts w:cstheme="minorHAnsi"/>
          <w:i/>
          <w:bdr w:val="none" w:sz="0" w:space="0" w:color="auto" w:frame="1"/>
        </w:rPr>
        <w:t>S. noctilio</w:t>
      </w:r>
      <w:r w:rsidRPr="003A05A5">
        <w:rPr>
          <w:rFonts w:cstheme="minorHAnsi"/>
          <w:bdr w:val="none" w:sz="0" w:space="0" w:color="auto" w:frame="1"/>
        </w:rPr>
        <w:t xml:space="preserve"> probablemente entró en Nueva Zelanda y Australia desde Europa a través de los puertos de mar, en la carga fuertemente infestada de larvas y adultos de especies </w:t>
      </w:r>
      <w:r w:rsidRPr="003A05A5">
        <w:rPr>
          <w:rFonts w:cstheme="minorHAnsi"/>
          <w:i/>
          <w:bdr w:val="none" w:sz="0" w:space="0" w:color="auto" w:frame="1"/>
        </w:rPr>
        <w:t>siricid</w:t>
      </w:r>
      <w:r w:rsidRPr="003A05A5">
        <w:rPr>
          <w:rFonts w:cstheme="minorHAnsi"/>
          <w:i/>
          <w:bdr w:val="none" w:sz="0" w:space="0" w:color="auto" w:frame="1"/>
        </w:rPr>
        <w:t>ae</w:t>
      </w:r>
      <w:r w:rsidRPr="003A05A5">
        <w:rPr>
          <w:rFonts w:cstheme="minorHAnsi"/>
          <w:bdr w:val="none" w:sz="0" w:space="0" w:color="auto" w:frame="1"/>
        </w:rPr>
        <w:t xml:space="preserve"> (Rawlings y Wilson, 1949; Neumann et al., 1987).</w:t>
      </w:r>
      <w:r w:rsidRPr="003A05A5">
        <w:rPr>
          <w:rStyle w:val="apple-converted-space"/>
          <w:rFonts w:cstheme="minorHAnsi"/>
          <w:bdr w:val="none" w:sz="0" w:space="0" w:color="auto" w:frame="1"/>
        </w:rPr>
        <w:t> </w:t>
      </w:r>
      <w:r w:rsidRPr="003A05A5">
        <w:rPr>
          <w:rFonts w:cstheme="minorHAnsi"/>
          <w:bdr w:val="none" w:sz="0" w:space="0" w:color="auto" w:frame="1"/>
        </w:rPr>
        <w:t>En África del Sur y América del Sur, que podría haber sido introducido en el material de e</w:t>
      </w:r>
      <w:r>
        <w:rPr>
          <w:rFonts w:cstheme="minorHAnsi"/>
          <w:bdr w:val="none" w:sz="0" w:space="0" w:color="auto" w:frame="1"/>
        </w:rPr>
        <w:t>mbalaje de madera sólida (Tribe, 1995; Lede et al., 2000</w:t>
      </w:r>
      <w:r w:rsidRPr="003A05A5">
        <w:rPr>
          <w:rFonts w:cstheme="minorHAnsi"/>
          <w:bdr w:val="none" w:sz="0" w:space="0" w:color="auto" w:frame="1"/>
        </w:rPr>
        <w:t>).</w:t>
      </w:r>
      <w:r w:rsidRPr="003A05A5">
        <w:rPr>
          <w:rStyle w:val="apple-converted-space"/>
          <w:rFonts w:cstheme="minorHAnsi"/>
          <w:bdr w:val="none" w:sz="0" w:space="0" w:color="auto" w:frame="1"/>
        </w:rPr>
        <w:t> </w:t>
      </w:r>
    </w:p>
    <w:p w:rsidR="003A05A5" w:rsidRPr="003A05A5" w:rsidRDefault="003A05A5" w:rsidP="003A05A5">
      <w:pPr>
        <w:jc w:val="both"/>
        <w:rPr>
          <w:rFonts w:cstheme="minorHAnsi"/>
        </w:rPr>
      </w:pPr>
      <w:r w:rsidRPr="003A05A5">
        <w:rPr>
          <w:rFonts w:cstheme="minorHAnsi"/>
          <w:bdr w:val="none" w:sz="0" w:space="0" w:color="auto" w:frame="1"/>
        </w:rPr>
        <w:t>Esta plaga es una plaga cuarent</w:t>
      </w:r>
      <w:r>
        <w:rPr>
          <w:rFonts w:cstheme="minorHAnsi"/>
          <w:bdr w:val="none" w:sz="0" w:space="0" w:color="auto" w:frame="1"/>
        </w:rPr>
        <w:t>enaria A1 para varias áreas: (</w:t>
      </w:r>
      <w:r w:rsidRPr="003A05A5">
        <w:rPr>
          <w:rFonts w:cstheme="minorHAnsi"/>
          <w:bdr w:val="none" w:sz="0" w:space="0" w:color="auto" w:frame="1"/>
        </w:rPr>
        <w:t>Kliejunas et al, 2001), por ejemplo, EE.UU., Japón y Canadá.</w:t>
      </w:r>
      <w:r w:rsidRPr="003A05A5">
        <w:rPr>
          <w:rStyle w:val="apple-converted-space"/>
          <w:rFonts w:cstheme="minorHAnsi"/>
          <w:bdr w:val="none" w:sz="0" w:space="0" w:color="auto" w:frame="1"/>
        </w:rPr>
        <w:t> </w:t>
      </w:r>
      <w:r w:rsidRPr="003A05A5">
        <w:rPr>
          <w:rFonts w:cstheme="minorHAnsi"/>
          <w:bdr w:val="none" w:sz="0" w:space="0" w:color="auto" w:frame="1"/>
        </w:rPr>
        <w:t>Estos países pueden requerir un certificado fitosanitario para la madera de pino.</w:t>
      </w:r>
      <w:r w:rsidRPr="003A05A5">
        <w:rPr>
          <w:rStyle w:val="apple-converted-space"/>
          <w:rFonts w:cstheme="minorHAnsi"/>
          <w:bdr w:val="none" w:sz="0" w:space="0" w:color="auto" w:frame="1"/>
        </w:rPr>
        <w:t> </w:t>
      </w:r>
      <w:r w:rsidRPr="003A05A5">
        <w:rPr>
          <w:rFonts w:cstheme="minorHAnsi"/>
          <w:bdr w:val="none" w:sz="0" w:space="0" w:color="auto" w:frame="1"/>
        </w:rPr>
        <w:t>Madera infestada sólo puede ser transportado fuera del área infectada una vez que ha sido tratado adecuadamente.</w:t>
      </w:r>
      <w:r w:rsidRPr="003A05A5">
        <w:rPr>
          <w:rStyle w:val="apple-converted-space"/>
          <w:rFonts w:cstheme="minorHAnsi"/>
          <w:bdr w:val="none" w:sz="0" w:space="0" w:color="auto" w:frame="1"/>
        </w:rPr>
        <w:t> </w:t>
      </w:r>
      <w:r w:rsidRPr="003A05A5">
        <w:rPr>
          <w:rFonts w:cstheme="minorHAnsi"/>
          <w:bdr w:val="none" w:sz="0" w:space="0" w:color="auto" w:frame="1"/>
        </w:rPr>
        <w:t xml:space="preserve">La madera utilizada en SWPM debe estar libre de signos de actividad, daño o de insectos especímenes de </w:t>
      </w:r>
      <w:r w:rsidRPr="003A05A5">
        <w:rPr>
          <w:rFonts w:cstheme="minorHAnsi"/>
          <w:i/>
          <w:bdr w:val="none" w:sz="0" w:space="0" w:color="auto" w:frame="1"/>
        </w:rPr>
        <w:t>S. noctilio.</w:t>
      </w:r>
      <w:r w:rsidRPr="003A05A5">
        <w:rPr>
          <w:rStyle w:val="apple-converted-space"/>
          <w:rFonts w:cstheme="minorHAnsi"/>
          <w:bdr w:val="none" w:sz="0" w:space="0" w:color="auto" w:frame="1"/>
        </w:rPr>
        <w:t> </w:t>
      </w:r>
    </w:p>
    <w:p w:rsidR="003A05A5" w:rsidRPr="003A05A5" w:rsidRDefault="003A05A5" w:rsidP="003A05A5">
      <w:pPr>
        <w:jc w:val="both"/>
        <w:rPr>
          <w:rFonts w:cstheme="minorHAnsi"/>
        </w:rPr>
      </w:pPr>
      <w:r w:rsidRPr="003A05A5">
        <w:rPr>
          <w:rFonts w:cstheme="minorHAnsi"/>
          <w:i/>
          <w:bdr w:val="none" w:sz="0" w:space="0" w:color="auto" w:frame="1"/>
        </w:rPr>
        <w:t>S. noctilio</w:t>
      </w:r>
      <w:r w:rsidRPr="003A05A5">
        <w:rPr>
          <w:rFonts w:cstheme="minorHAnsi"/>
          <w:bdr w:val="none" w:sz="0" w:space="0" w:color="auto" w:frame="1"/>
        </w:rPr>
        <w:t>, naturalmente, puede extenderse entre 30 y 50 km por año.</w:t>
      </w:r>
      <w:r w:rsidRPr="003A05A5">
        <w:rPr>
          <w:rStyle w:val="apple-converted-space"/>
          <w:rFonts w:cstheme="minorHAnsi"/>
          <w:bdr w:val="none" w:sz="0" w:space="0" w:color="auto" w:frame="1"/>
        </w:rPr>
        <w:t> </w:t>
      </w:r>
      <w:r w:rsidRPr="003A05A5">
        <w:rPr>
          <w:rFonts w:cstheme="minorHAnsi"/>
          <w:bdr w:val="none" w:sz="0" w:space="0" w:color="auto" w:frame="1"/>
        </w:rPr>
        <w:t>Sin embargo, el transporte de la madera de zonas atacadas a plantaciones donde la plaga no se detecta, aumenta la posibilidad de dispersión.</w:t>
      </w:r>
      <w:r w:rsidRPr="003A05A5">
        <w:rPr>
          <w:rStyle w:val="apple-converted-space"/>
          <w:rFonts w:cstheme="minorHAnsi"/>
          <w:bdr w:val="none" w:sz="0" w:space="0" w:color="auto" w:frame="1"/>
        </w:rPr>
        <w:t> </w:t>
      </w:r>
      <w:r w:rsidRPr="003A05A5">
        <w:rPr>
          <w:rFonts w:cstheme="minorHAnsi"/>
          <w:bdr w:val="none" w:sz="0" w:space="0" w:color="auto" w:frame="1"/>
        </w:rPr>
        <w:t xml:space="preserve">Esta es probablemente la forma en se introdujo </w:t>
      </w:r>
      <w:r w:rsidRPr="003A05A5">
        <w:rPr>
          <w:rFonts w:cstheme="minorHAnsi"/>
          <w:i/>
          <w:bdr w:val="none" w:sz="0" w:space="0" w:color="auto" w:frame="1"/>
        </w:rPr>
        <w:t>S. noctilio</w:t>
      </w:r>
      <w:r w:rsidRPr="003A05A5">
        <w:rPr>
          <w:rFonts w:cstheme="minorHAnsi"/>
          <w:bdr w:val="none" w:sz="0" w:space="0" w:color="auto" w:frame="1"/>
        </w:rPr>
        <w:t xml:space="preserve"> desde Uruguay a Brasil.</w:t>
      </w:r>
      <w:r w:rsidRPr="003A05A5">
        <w:rPr>
          <w:rStyle w:val="apple-converted-space"/>
          <w:rFonts w:cstheme="minorHAnsi"/>
          <w:bdr w:val="none" w:sz="0" w:space="0" w:color="auto" w:frame="1"/>
        </w:rPr>
        <w:t> </w:t>
      </w:r>
      <w:r w:rsidRPr="003A05A5">
        <w:rPr>
          <w:rFonts w:cstheme="minorHAnsi"/>
          <w:bdr w:val="none" w:sz="0" w:space="0" w:color="auto" w:frame="1"/>
        </w:rPr>
        <w:t>En consecuencia, la vigilancia de las zonas afectadas y la prohibición del transporte de madera a partir atacado a áreas no atacadas son las estrategias creadas para evitar la dispersión de plagas.</w:t>
      </w:r>
    </w:p>
    <w:p w:rsidR="00ED5868" w:rsidRPr="002A508D" w:rsidRDefault="00204667" w:rsidP="007404EA">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3A05A5" w:rsidRPr="00733A49" w:rsidRDefault="003A05A5" w:rsidP="002A508D">
      <w:pPr>
        <w:jc w:val="both"/>
        <w:rPr>
          <w:rFonts w:cstheme="minorHAnsi"/>
        </w:rPr>
      </w:pPr>
      <w:r w:rsidRPr="00733A49">
        <w:rPr>
          <w:rFonts w:cstheme="minorHAnsi"/>
          <w:i/>
          <w:bdr w:val="none" w:sz="0" w:space="0" w:color="auto" w:frame="1"/>
        </w:rPr>
        <w:lastRenderedPageBreak/>
        <w:t>S. noctilio</w:t>
      </w:r>
      <w:r w:rsidRPr="00733A49">
        <w:rPr>
          <w:rFonts w:cstheme="minorHAnsi"/>
          <w:bdr w:val="none" w:sz="0" w:space="0" w:color="auto" w:frame="1"/>
        </w:rPr>
        <w:t xml:space="preserve"> se dispersa por varios vuelos cortos, de gran alcance.</w:t>
      </w:r>
      <w:r w:rsidRPr="00733A49">
        <w:rPr>
          <w:rStyle w:val="apple-converted-space"/>
          <w:rFonts w:cstheme="minorHAnsi"/>
          <w:bdr w:val="none" w:sz="0" w:space="0" w:color="auto" w:frame="1"/>
        </w:rPr>
        <w:t> </w:t>
      </w:r>
      <w:r w:rsidRPr="00733A49">
        <w:rPr>
          <w:rFonts w:cstheme="minorHAnsi"/>
          <w:bdr w:val="none" w:sz="0" w:space="0" w:color="auto" w:frame="1"/>
        </w:rPr>
        <w:t>La tasa de propagación natural es aproximadamente 20 a 50 km por año (Zondag y Nuttal, 1977; Taylor, 1981; Neumann et al, 1987; Iede et al, 1993).</w:t>
      </w:r>
      <w:r w:rsidRPr="00733A49">
        <w:rPr>
          <w:rStyle w:val="apple-converted-space"/>
          <w:rFonts w:cstheme="minorHAnsi"/>
          <w:bdr w:val="none" w:sz="0" w:space="0" w:color="auto" w:frame="1"/>
        </w:rPr>
        <w:t> </w:t>
      </w:r>
    </w:p>
    <w:p w:rsidR="003A05A5" w:rsidRPr="00733A49" w:rsidRDefault="003A05A5" w:rsidP="002A508D">
      <w:pPr>
        <w:jc w:val="both"/>
        <w:rPr>
          <w:rFonts w:cstheme="minorHAnsi"/>
        </w:rPr>
      </w:pPr>
      <w:r w:rsidRPr="00733A49">
        <w:rPr>
          <w:rFonts w:cstheme="minorHAnsi"/>
          <w:bdr w:val="none" w:sz="0" w:space="0" w:color="auto" w:frame="1"/>
        </w:rPr>
        <w:t>La adultos, pupas, larvas y huevos se pueden llevar en el material de embalaje de madera maciza (SWPM), en los registros y en la madera de sierra en el comercio interior, regional o internacional (Haugen y Iede, 2001).</w:t>
      </w:r>
      <w:r w:rsidRPr="00733A49">
        <w:rPr>
          <w:rStyle w:val="apple-converted-space"/>
          <w:rFonts w:cstheme="minorHAnsi"/>
          <w:bdr w:val="none" w:sz="0" w:space="0" w:color="auto" w:frame="1"/>
        </w:rPr>
        <w:t> </w:t>
      </w:r>
    </w:p>
    <w:p w:rsidR="003A05A5" w:rsidRPr="00733A49" w:rsidRDefault="003A05A5" w:rsidP="002A508D">
      <w:pPr>
        <w:jc w:val="both"/>
        <w:rPr>
          <w:rFonts w:cstheme="minorHAnsi"/>
        </w:rPr>
      </w:pPr>
      <w:r w:rsidRPr="00733A49">
        <w:rPr>
          <w:rFonts w:cstheme="minorHAnsi"/>
          <w:bdr w:val="none" w:sz="0" w:space="0" w:color="auto" w:frame="1"/>
        </w:rPr>
        <w:t>El envío de registros es una vía principal para el transporte de barrenadores de la madera.</w:t>
      </w:r>
      <w:r w:rsidRPr="00733A49">
        <w:rPr>
          <w:rStyle w:val="apple-converted-space"/>
          <w:rFonts w:cstheme="minorHAnsi"/>
          <w:bdr w:val="none" w:sz="0" w:space="0" w:color="auto" w:frame="1"/>
        </w:rPr>
        <w:t> </w:t>
      </w:r>
      <w:r w:rsidRPr="00733A49">
        <w:rPr>
          <w:rFonts w:cstheme="minorHAnsi"/>
          <w:bdr w:val="none" w:sz="0" w:space="0" w:color="auto" w:frame="1"/>
        </w:rPr>
        <w:t>Otra vía importante es en verde, madera de la sierra no se trata, sobre todo si este material tiene grandes dimensiones y la madera no rápidamente seque.</w:t>
      </w:r>
      <w:r w:rsidRPr="00733A49">
        <w:rPr>
          <w:rStyle w:val="apple-converted-space"/>
          <w:rFonts w:cstheme="minorHAnsi"/>
          <w:bdr w:val="none" w:sz="0" w:space="0" w:color="auto" w:frame="1"/>
        </w:rPr>
        <w:t> </w:t>
      </w:r>
      <w:r w:rsidRPr="00733A49">
        <w:rPr>
          <w:rFonts w:cstheme="minorHAnsi"/>
          <w:bdr w:val="none" w:sz="0" w:space="0" w:color="auto" w:frame="1"/>
        </w:rPr>
        <w:t>SWPM no tratadas se ha identificado como una vía de alto riesgo en el comercio internacional.</w:t>
      </w:r>
      <w:r w:rsidRPr="00733A49">
        <w:rPr>
          <w:rStyle w:val="apple-converted-space"/>
          <w:rFonts w:cstheme="minorHAnsi"/>
          <w:bdr w:val="none" w:sz="0" w:space="0" w:color="auto" w:frame="1"/>
        </w:rPr>
        <w:t> </w:t>
      </w:r>
      <w:r w:rsidRPr="00733A49">
        <w:rPr>
          <w:rFonts w:cstheme="minorHAnsi"/>
          <w:bdr w:val="none" w:sz="0" w:space="0" w:color="auto" w:frame="1"/>
        </w:rPr>
        <w:t>La madera de baja calidad se utiliza con frecuencia para la fabricación de cajas, paletas y otros SWPM (Haugen y Iede, 2001).</w:t>
      </w:r>
      <w:r w:rsidRPr="00733A49">
        <w:rPr>
          <w:rStyle w:val="apple-converted-space"/>
          <w:rFonts w:cstheme="minorHAnsi"/>
          <w:bdr w:val="none" w:sz="0" w:space="0" w:color="auto" w:frame="1"/>
        </w:rPr>
        <w:t> </w:t>
      </w:r>
      <w:r w:rsidRPr="00733A49">
        <w:rPr>
          <w:rFonts w:cstheme="minorHAnsi"/>
          <w:bdr w:val="none" w:sz="0" w:space="0" w:color="auto" w:frame="1"/>
        </w:rPr>
        <w:t>La cuarentena de plagas Servicios de Insp</w:t>
      </w:r>
      <w:r w:rsidR="00733A49">
        <w:rPr>
          <w:rFonts w:cstheme="minorHAnsi"/>
          <w:bdr w:val="none" w:sz="0" w:space="0" w:color="auto" w:frame="1"/>
        </w:rPr>
        <w:t xml:space="preserve">ección han interceptado </w:t>
      </w:r>
      <w:r w:rsidR="00733A49" w:rsidRPr="00733A49">
        <w:rPr>
          <w:rFonts w:cstheme="minorHAnsi"/>
          <w:i/>
          <w:bdr w:val="none" w:sz="0" w:space="0" w:color="auto" w:frame="1"/>
        </w:rPr>
        <w:t>siricidae</w:t>
      </w:r>
      <w:r w:rsidRPr="00733A49">
        <w:rPr>
          <w:rFonts w:cstheme="minorHAnsi"/>
          <w:i/>
          <w:bdr w:val="none" w:sz="0" w:space="0" w:color="auto" w:frame="1"/>
        </w:rPr>
        <w:t xml:space="preserve"> </w:t>
      </w:r>
      <w:r w:rsidRPr="00733A49">
        <w:rPr>
          <w:rFonts w:cstheme="minorHAnsi"/>
          <w:bdr w:val="none" w:sz="0" w:space="0" w:color="auto" w:frame="1"/>
        </w:rPr>
        <w:t>en SWPM en varios países.</w:t>
      </w:r>
    </w:p>
    <w:p w:rsidR="002A508D" w:rsidRPr="002A508D" w:rsidRDefault="00204667" w:rsidP="007404EA">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204667" w:rsidRDefault="00C83F4C" w:rsidP="00C83F4C">
      <w:pPr>
        <w:jc w:val="both"/>
        <w:rPr>
          <w:rFonts w:cstheme="minorHAnsi"/>
          <w:bdr w:val="none" w:sz="0" w:space="0" w:color="auto" w:frame="1"/>
        </w:rPr>
      </w:pPr>
      <w:r w:rsidRPr="00C83F4C">
        <w:rPr>
          <w:rFonts w:cstheme="minorHAnsi"/>
          <w:i/>
          <w:bdr w:val="none" w:sz="0" w:space="0" w:color="auto" w:frame="1"/>
        </w:rPr>
        <w:t>S. noctilio</w:t>
      </w:r>
      <w:r w:rsidRPr="00C83F4C">
        <w:rPr>
          <w:rFonts w:cstheme="minorHAnsi"/>
          <w:bdr w:val="none" w:sz="0" w:space="0" w:color="auto" w:frame="1"/>
        </w:rPr>
        <w:t xml:space="preserve"> es un insecto-taladro madera oportunista secundaria.</w:t>
      </w:r>
      <w:r w:rsidRPr="00C83F4C">
        <w:rPr>
          <w:rStyle w:val="apple-converted-space"/>
          <w:rFonts w:cstheme="minorHAnsi"/>
          <w:bdr w:val="none" w:sz="0" w:space="0" w:color="auto" w:frame="1"/>
        </w:rPr>
        <w:t> </w:t>
      </w:r>
      <w:r w:rsidRPr="00C83F4C">
        <w:rPr>
          <w:rFonts w:cstheme="minorHAnsi"/>
          <w:bdr w:val="none" w:sz="0" w:space="0" w:color="auto" w:frame="1"/>
        </w:rPr>
        <w:t xml:space="preserve">Por lo tanto, la prevención de brotes graves es un problema de manejo forestal que puede ser mitigado a través de buenas prácticas de silvicultura, </w:t>
      </w:r>
      <w:r w:rsidR="00B40AD7" w:rsidRPr="00C83F4C">
        <w:rPr>
          <w:rFonts w:cstheme="minorHAnsi"/>
          <w:bdr w:val="none" w:sz="0" w:space="0" w:color="auto" w:frame="1"/>
        </w:rPr>
        <w:t>principalmente adelgazamiento oportuno</w:t>
      </w:r>
      <w:r w:rsidRPr="00C83F4C">
        <w:rPr>
          <w:rFonts w:cstheme="minorHAnsi"/>
          <w:bdr w:val="none" w:sz="0" w:space="0" w:color="auto" w:frame="1"/>
        </w:rPr>
        <w:t xml:space="preserve"> y la pronta eliminación de los árboles dañados y no saludables o de tallo múltiples (Neumann </w:t>
      </w:r>
      <w:r>
        <w:rPr>
          <w:rFonts w:cstheme="minorHAnsi"/>
          <w:bdr w:val="none" w:sz="0" w:space="0" w:color="auto" w:frame="1"/>
        </w:rPr>
        <w:t>et al, 1987; Iede et al, 1993</w:t>
      </w:r>
      <w:r w:rsidRPr="00C83F4C">
        <w:rPr>
          <w:rFonts w:cstheme="minorHAnsi"/>
          <w:bdr w:val="none" w:sz="0" w:space="0" w:color="auto" w:frame="1"/>
        </w:rPr>
        <w:t>).</w:t>
      </w:r>
      <w:r w:rsidRPr="00C83F4C">
        <w:rPr>
          <w:rStyle w:val="apple-converted-space"/>
          <w:rFonts w:cstheme="minorHAnsi"/>
          <w:bdr w:val="none" w:sz="0" w:space="0" w:color="auto" w:frame="1"/>
        </w:rPr>
        <w:t> </w:t>
      </w:r>
      <w:r w:rsidRPr="00C83F4C">
        <w:rPr>
          <w:rFonts w:cstheme="minorHAnsi"/>
        </w:rPr>
        <w:br/>
      </w:r>
      <w:r w:rsidRPr="00C83F4C">
        <w:rPr>
          <w:rFonts w:cstheme="minorHAnsi"/>
          <w:bdr w:val="none" w:sz="0" w:space="0" w:color="auto" w:frame="1"/>
        </w:rPr>
        <w:t xml:space="preserve">Una estrategia efectiva es apuntar a la detección temprana y la supresión rápida de pequeñas poblaciones de </w:t>
      </w:r>
      <w:r w:rsidRPr="00C83F4C">
        <w:rPr>
          <w:rFonts w:cstheme="minorHAnsi"/>
          <w:i/>
          <w:bdr w:val="none" w:sz="0" w:space="0" w:color="auto" w:frame="1"/>
        </w:rPr>
        <w:t>S. noctilio</w:t>
      </w:r>
      <w:r w:rsidRPr="00C83F4C">
        <w:rPr>
          <w:rFonts w:cstheme="minorHAnsi"/>
          <w:bdr w:val="none" w:sz="0" w:space="0" w:color="auto" w:frame="1"/>
        </w:rPr>
        <w:t>.</w:t>
      </w:r>
      <w:r w:rsidRPr="00C83F4C">
        <w:rPr>
          <w:rStyle w:val="apple-converted-space"/>
          <w:rFonts w:cstheme="minorHAnsi"/>
          <w:bdr w:val="none" w:sz="0" w:space="0" w:color="auto" w:frame="1"/>
        </w:rPr>
        <w:t> </w:t>
      </w:r>
      <w:r w:rsidRPr="00C83F4C">
        <w:rPr>
          <w:rFonts w:cstheme="minorHAnsi"/>
          <w:bdr w:val="none" w:sz="0" w:space="0" w:color="auto" w:frame="1"/>
        </w:rPr>
        <w:t>La vigilancia en tierra para la detección precoz de la plaga incluye un sistema de trampas-árbol.</w:t>
      </w:r>
      <w:r w:rsidRPr="00C83F4C">
        <w:rPr>
          <w:rStyle w:val="apple-converted-space"/>
          <w:rFonts w:cstheme="minorHAnsi"/>
          <w:bdr w:val="none" w:sz="0" w:space="0" w:color="auto" w:frame="1"/>
        </w:rPr>
        <w:t> </w:t>
      </w:r>
      <w:r w:rsidRPr="00C83F4C">
        <w:rPr>
          <w:rFonts w:cstheme="minorHAnsi"/>
          <w:bdr w:val="none" w:sz="0" w:space="0" w:color="auto" w:frame="1"/>
        </w:rPr>
        <w:t xml:space="preserve">Los agentes de control biológico utilizados contra </w:t>
      </w:r>
      <w:r w:rsidRPr="00B40AD7">
        <w:rPr>
          <w:rFonts w:cstheme="minorHAnsi"/>
          <w:i/>
          <w:bdr w:val="none" w:sz="0" w:space="0" w:color="auto" w:frame="1"/>
        </w:rPr>
        <w:t>S. noctilio</w:t>
      </w:r>
      <w:r w:rsidRPr="00C83F4C">
        <w:rPr>
          <w:rFonts w:cstheme="minorHAnsi"/>
          <w:bdr w:val="none" w:sz="0" w:space="0" w:color="auto" w:frame="1"/>
        </w:rPr>
        <w:t xml:space="preserve"> incluir el nematodo, siricidicola Deladenus y parasitoides, tales como leucospoides Ibalia (Haugen,</w:t>
      </w:r>
      <w:r w:rsidR="00B56B45">
        <w:rPr>
          <w:rFonts w:cstheme="minorHAnsi"/>
          <w:bdr w:val="none" w:sz="0" w:space="0" w:color="auto" w:frame="1"/>
        </w:rPr>
        <w:t xml:space="preserve"> 1990</w:t>
      </w:r>
      <w:r w:rsidRPr="00C83F4C">
        <w:rPr>
          <w:rFonts w:cstheme="minorHAnsi"/>
          <w:bdr w:val="none" w:sz="0" w:space="0" w:color="auto" w:frame="1"/>
        </w:rPr>
        <w:t>;</w:t>
      </w:r>
      <w:r w:rsidR="00B40AD7">
        <w:rPr>
          <w:rFonts w:cstheme="minorHAnsi"/>
          <w:bdr w:val="none" w:sz="0" w:space="0" w:color="auto" w:frame="1"/>
        </w:rPr>
        <w:t xml:space="preserve"> Iede et al, 1993</w:t>
      </w:r>
      <w:r w:rsidRPr="00C83F4C">
        <w:rPr>
          <w:rFonts w:cstheme="minorHAnsi"/>
          <w:bdr w:val="none" w:sz="0" w:space="0" w:color="auto" w:frame="1"/>
        </w:rPr>
        <w:t>).</w:t>
      </w:r>
      <w:r w:rsidRPr="00C83F4C">
        <w:rPr>
          <w:rStyle w:val="apple-converted-space"/>
          <w:rFonts w:cstheme="minorHAnsi"/>
          <w:bdr w:val="none" w:sz="0" w:space="0" w:color="auto" w:frame="1"/>
        </w:rPr>
        <w:t> </w:t>
      </w:r>
      <w:r w:rsidRPr="00C83F4C">
        <w:rPr>
          <w:rFonts w:cstheme="minorHAnsi"/>
          <w:bdr w:val="none" w:sz="0" w:space="0" w:color="auto" w:frame="1"/>
        </w:rPr>
        <w:t>Un programa de manejo integrado de plagas debe inc</w:t>
      </w:r>
      <w:r w:rsidR="00B40AD7">
        <w:rPr>
          <w:rFonts w:cstheme="minorHAnsi"/>
          <w:bdr w:val="none" w:sz="0" w:space="0" w:color="auto" w:frame="1"/>
        </w:rPr>
        <w:t>luir las siguientes actividades:</w:t>
      </w:r>
    </w:p>
    <w:p w:rsidR="00B40AD7" w:rsidRPr="00331352" w:rsidRDefault="00B40AD7" w:rsidP="00331352">
      <w:pPr>
        <w:pStyle w:val="Prrafodelista"/>
        <w:numPr>
          <w:ilvl w:val="0"/>
          <w:numId w:val="9"/>
        </w:numPr>
        <w:jc w:val="both"/>
        <w:rPr>
          <w:rFonts w:cstheme="minorHAnsi"/>
          <w:b/>
          <w:bCs/>
          <w:bdr w:val="none" w:sz="0" w:space="0" w:color="auto" w:frame="1"/>
        </w:rPr>
      </w:pPr>
      <w:r w:rsidRPr="00331352">
        <w:rPr>
          <w:rFonts w:cstheme="minorHAnsi"/>
          <w:b/>
          <w:bCs/>
          <w:bdr w:val="none" w:sz="0" w:space="0" w:color="auto" w:frame="1"/>
        </w:rPr>
        <w:t xml:space="preserve">El control de la detección temprana de </w:t>
      </w:r>
      <w:r w:rsidRPr="00331352">
        <w:rPr>
          <w:rFonts w:cstheme="minorHAnsi"/>
          <w:b/>
          <w:bCs/>
          <w:i/>
          <w:bdr w:val="none" w:sz="0" w:space="0" w:color="auto" w:frame="1"/>
        </w:rPr>
        <w:t>S</w:t>
      </w:r>
      <w:r w:rsidRPr="00331352">
        <w:rPr>
          <w:rFonts w:cstheme="minorHAnsi"/>
          <w:b/>
          <w:bCs/>
          <w:i/>
          <w:bdr w:val="none" w:sz="0" w:space="0" w:color="auto" w:frame="1"/>
        </w:rPr>
        <w:t>irex</w:t>
      </w:r>
      <w:r w:rsidRPr="00331352">
        <w:rPr>
          <w:rFonts w:cstheme="minorHAnsi"/>
          <w:b/>
          <w:bCs/>
          <w:i/>
          <w:bdr w:val="none" w:sz="0" w:space="0" w:color="auto" w:frame="1"/>
        </w:rPr>
        <w:t xml:space="preserve"> noctilio</w:t>
      </w:r>
    </w:p>
    <w:p w:rsidR="00B40AD7" w:rsidRDefault="00B40AD7" w:rsidP="00C83F4C">
      <w:pPr>
        <w:jc w:val="both"/>
        <w:rPr>
          <w:rFonts w:cstheme="minorHAnsi"/>
        </w:rPr>
      </w:pPr>
      <w:r>
        <w:rPr>
          <w:rFonts w:cstheme="minorHAnsi"/>
          <w:bdr w:val="none" w:sz="0" w:space="0" w:color="auto" w:frame="1"/>
        </w:rPr>
        <w:t>M</w:t>
      </w:r>
      <w:r w:rsidRPr="00B40AD7">
        <w:rPr>
          <w:rFonts w:cstheme="minorHAnsi"/>
          <w:bdr w:val="none" w:sz="0" w:space="0" w:color="auto" w:frame="1"/>
        </w:rPr>
        <w:t>apas detallados de las plantaciones de pino debe estar disponible y debe incluir el número y la ubicación de los grupos de árboles-trampa.</w:t>
      </w:r>
      <w:r w:rsidRPr="00B40AD7">
        <w:rPr>
          <w:rStyle w:val="apple-converted-space"/>
          <w:rFonts w:cstheme="minorHAnsi"/>
          <w:bdr w:val="none" w:sz="0" w:space="0" w:color="auto" w:frame="1"/>
        </w:rPr>
        <w:t> </w:t>
      </w:r>
      <w:r w:rsidRPr="00B40AD7">
        <w:rPr>
          <w:rFonts w:cstheme="minorHAnsi"/>
          <w:bdr w:val="none" w:sz="0" w:space="0" w:color="auto" w:frame="1"/>
        </w:rPr>
        <w:t xml:space="preserve">Estos deben incluir también las áreas donde se encuentra </w:t>
      </w:r>
      <w:r w:rsidRPr="00B40AD7">
        <w:rPr>
          <w:rFonts w:cstheme="minorHAnsi"/>
          <w:i/>
          <w:bdr w:val="none" w:sz="0" w:space="0" w:color="auto" w:frame="1"/>
        </w:rPr>
        <w:t>S. noctilio</w:t>
      </w:r>
      <w:r w:rsidRPr="00B40AD7">
        <w:rPr>
          <w:rFonts w:cstheme="minorHAnsi"/>
          <w:bdr w:val="none" w:sz="0" w:space="0" w:color="auto" w:frame="1"/>
        </w:rPr>
        <w:t xml:space="preserve"> y los lugares donde se liberan los nematodos y parásitos.</w:t>
      </w:r>
      <w:r w:rsidRPr="00B40AD7">
        <w:rPr>
          <w:rStyle w:val="apple-converted-space"/>
          <w:rFonts w:cstheme="minorHAnsi"/>
          <w:bdr w:val="none" w:sz="0" w:space="0" w:color="auto" w:frame="1"/>
        </w:rPr>
        <w:t> </w:t>
      </w:r>
    </w:p>
    <w:p w:rsidR="00B40AD7" w:rsidRDefault="00B40AD7" w:rsidP="00C83F4C">
      <w:pPr>
        <w:jc w:val="both"/>
        <w:rPr>
          <w:rFonts w:cstheme="minorHAnsi"/>
        </w:rPr>
      </w:pPr>
      <w:r w:rsidRPr="00B40AD7">
        <w:rPr>
          <w:rFonts w:cstheme="minorHAnsi"/>
          <w:bdr w:val="none" w:sz="0" w:space="0" w:color="auto" w:frame="1"/>
        </w:rPr>
        <w:t xml:space="preserve">Para la detección temprana de </w:t>
      </w:r>
      <w:r w:rsidRPr="00B40AD7">
        <w:rPr>
          <w:rFonts w:cstheme="minorHAnsi"/>
          <w:i/>
          <w:bdr w:val="none" w:sz="0" w:space="0" w:color="auto" w:frame="1"/>
        </w:rPr>
        <w:t>S. noctilio</w:t>
      </w:r>
      <w:r w:rsidRPr="00B40AD7">
        <w:rPr>
          <w:rFonts w:cstheme="minorHAnsi"/>
          <w:bdr w:val="none" w:sz="0" w:space="0" w:color="auto" w:frame="1"/>
        </w:rPr>
        <w:t>, monitoreo aéreo, con las observaciones visuales y las estimaciones de los daños en las zonas atacadas, es impreciso.</w:t>
      </w:r>
      <w:r w:rsidRPr="00B40AD7">
        <w:rPr>
          <w:rStyle w:val="apple-converted-space"/>
          <w:rFonts w:cstheme="minorHAnsi"/>
          <w:bdr w:val="none" w:sz="0" w:space="0" w:color="auto" w:frame="1"/>
        </w:rPr>
        <w:t> </w:t>
      </w:r>
      <w:r w:rsidRPr="00B40AD7">
        <w:rPr>
          <w:rFonts w:cstheme="minorHAnsi"/>
          <w:bdr w:val="none" w:sz="0" w:space="0" w:color="auto" w:frame="1"/>
        </w:rPr>
        <w:t xml:space="preserve">Esto es porque los árboles normalmente preferidos por </w:t>
      </w:r>
      <w:r w:rsidRPr="00B40AD7">
        <w:rPr>
          <w:rFonts w:cstheme="minorHAnsi"/>
          <w:i/>
          <w:bdr w:val="none" w:sz="0" w:space="0" w:color="auto" w:frame="1"/>
        </w:rPr>
        <w:t>S. noctilio</w:t>
      </w:r>
      <w:r w:rsidRPr="00B40AD7">
        <w:rPr>
          <w:rFonts w:cstheme="minorHAnsi"/>
          <w:bdr w:val="none" w:sz="0" w:space="0" w:color="auto" w:frame="1"/>
        </w:rPr>
        <w:t xml:space="preserve"> no se detectan en este tipo </w:t>
      </w:r>
      <w:r>
        <w:rPr>
          <w:rFonts w:cstheme="minorHAnsi"/>
          <w:bdr w:val="none" w:sz="0" w:space="0" w:color="auto" w:frame="1"/>
        </w:rPr>
        <w:t>de encuestas (Iede et al, 1998;</w:t>
      </w:r>
      <w:r w:rsidRPr="00B40AD7">
        <w:rPr>
          <w:rFonts w:cstheme="minorHAnsi"/>
          <w:bdr w:val="none" w:sz="0" w:space="0" w:color="auto" w:frame="1"/>
        </w:rPr>
        <w:t xml:space="preserve"> Ciesla, 2003).</w:t>
      </w:r>
      <w:r w:rsidRPr="00B40AD7">
        <w:rPr>
          <w:rStyle w:val="apple-converted-space"/>
          <w:rFonts w:cstheme="minorHAnsi"/>
          <w:bdr w:val="none" w:sz="0" w:space="0" w:color="auto" w:frame="1"/>
        </w:rPr>
        <w:t> </w:t>
      </w:r>
      <w:r w:rsidRPr="00B40AD7">
        <w:rPr>
          <w:rFonts w:cstheme="minorHAnsi"/>
          <w:bdr w:val="none" w:sz="0" w:space="0" w:color="auto" w:frame="1"/>
        </w:rPr>
        <w:t>Para una evaluación precisa de las zonas atacadas en las plantaciones, la fotografía infrarroja y la interpretación fotográfica, seguidos de estudios sobre el terreno, son más informativos que los cuadernos de mapas aéreos.</w:t>
      </w:r>
      <w:r w:rsidRPr="00B40AD7">
        <w:rPr>
          <w:rStyle w:val="apple-converted-space"/>
          <w:rFonts w:cstheme="minorHAnsi"/>
          <w:bdr w:val="none" w:sz="0" w:space="0" w:color="auto" w:frame="1"/>
        </w:rPr>
        <w:t> </w:t>
      </w:r>
    </w:p>
    <w:p w:rsidR="00B40AD7" w:rsidRDefault="00B40AD7" w:rsidP="00C83F4C">
      <w:pPr>
        <w:jc w:val="both"/>
        <w:rPr>
          <w:rFonts w:cstheme="minorHAnsi"/>
        </w:rPr>
      </w:pPr>
      <w:r w:rsidRPr="00B40AD7">
        <w:rPr>
          <w:rFonts w:cstheme="minorHAnsi"/>
          <w:bdr w:val="none" w:sz="0" w:space="0" w:color="auto" w:frame="1"/>
        </w:rPr>
        <w:t>El uso de la trampa-árboles que se destacó por inyección herbicida es la técnica más adecuada y eficiente para la detección temprana de plagas y para la dispersión de monitoreo.</w:t>
      </w:r>
      <w:r w:rsidRPr="00B40AD7">
        <w:rPr>
          <w:rStyle w:val="apple-converted-space"/>
          <w:rFonts w:cstheme="minorHAnsi"/>
          <w:bdr w:val="none" w:sz="0" w:space="0" w:color="auto" w:frame="1"/>
        </w:rPr>
        <w:t> </w:t>
      </w:r>
      <w:r w:rsidRPr="00B40AD7">
        <w:rPr>
          <w:rFonts w:cstheme="minorHAnsi"/>
          <w:bdr w:val="none" w:sz="0" w:space="0" w:color="auto" w:frame="1"/>
        </w:rPr>
        <w:t xml:space="preserve">La detección de </w:t>
      </w:r>
      <w:r w:rsidRPr="00B40AD7">
        <w:rPr>
          <w:rFonts w:cstheme="minorHAnsi"/>
          <w:i/>
          <w:bdr w:val="none" w:sz="0" w:space="0" w:color="auto" w:frame="1"/>
        </w:rPr>
        <w:t>S. noctilio</w:t>
      </w:r>
      <w:r w:rsidRPr="00B40AD7">
        <w:rPr>
          <w:rFonts w:cstheme="minorHAnsi"/>
          <w:bdr w:val="none" w:sz="0" w:space="0" w:color="auto" w:frame="1"/>
        </w:rPr>
        <w:t xml:space="preserve"> durante sus primeras etapas de desarrollo y colonización ayuda a definir las ubicaciones para la liberación agente de control biológico y permite prácticas de aclareo a llevarse a cabo </w:t>
      </w:r>
      <w:r w:rsidRPr="00B40AD7">
        <w:rPr>
          <w:rFonts w:cstheme="minorHAnsi"/>
          <w:bdr w:val="none" w:sz="0" w:space="0" w:color="auto" w:frame="1"/>
        </w:rPr>
        <w:lastRenderedPageBreak/>
        <w:t>antes de la plaga alcanza altos niveles perjudiciales.</w:t>
      </w:r>
      <w:r w:rsidRPr="00B40AD7">
        <w:rPr>
          <w:rStyle w:val="apple-converted-space"/>
          <w:rFonts w:cstheme="minorHAnsi"/>
          <w:bdr w:val="none" w:sz="0" w:space="0" w:color="auto" w:frame="1"/>
        </w:rPr>
        <w:t> </w:t>
      </w:r>
      <w:r w:rsidRPr="00B40AD7">
        <w:rPr>
          <w:rFonts w:cstheme="minorHAnsi"/>
          <w:bdr w:val="none" w:sz="0" w:space="0" w:color="auto" w:frame="1"/>
        </w:rPr>
        <w:t xml:space="preserve">El mantenimiento de un sistema de trampas-árbol puede aumentar en gran medida la eficiencia de control biológico de </w:t>
      </w:r>
      <w:r w:rsidRPr="00B40AD7">
        <w:rPr>
          <w:rFonts w:cstheme="minorHAnsi"/>
          <w:i/>
          <w:bdr w:val="none" w:sz="0" w:space="0" w:color="auto" w:frame="1"/>
        </w:rPr>
        <w:t>S.</w:t>
      </w:r>
      <w:r w:rsidRPr="00B40AD7">
        <w:rPr>
          <w:rFonts w:cstheme="minorHAnsi"/>
          <w:i/>
          <w:bdr w:val="none" w:sz="0" w:space="0" w:color="auto" w:frame="1"/>
        </w:rPr>
        <w:t xml:space="preserve"> noctilio</w:t>
      </w:r>
      <w:r>
        <w:rPr>
          <w:rFonts w:cstheme="minorHAnsi"/>
          <w:bdr w:val="none" w:sz="0" w:space="0" w:color="auto" w:frame="1"/>
        </w:rPr>
        <w:t xml:space="preserve"> (Neumann et al 1987;</w:t>
      </w:r>
      <w:r w:rsidRPr="00B40AD7">
        <w:rPr>
          <w:rFonts w:cstheme="minorHAnsi"/>
          <w:bdr w:val="none" w:sz="0" w:space="0" w:color="auto" w:frame="1"/>
        </w:rPr>
        <w:t xml:space="preserve"> Haugen,</w:t>
      </w:r>
      <w:r w:rsidR="00B56B45">
        <w:rPr>
          <w:rFonts w:cstheme="minorHAnsi"/>
          <w:bdr w:val="none" w:sz="0" w:space="0" w:color="auto" w:frame="1"/>
        </w:rPr>
        <w:t xml:space="preserve"> 1990</w:t>
      </w:r>
      <w:r w:rsidRPr="00B40AD7">
        <w:rPr>
          <w:rFonts w:cstheme="minorHAnsi"/>
          <w:bdr w:val="none" w:sz="0" w:space="0" w:color="auto" w:frame="1"/>
        </w:rPr>
        <w:t>; Iede et al, 1993, 1998.).</w:t>
      </w:r>
      <w:r w:rsidRPr="00B40AD7">
        <w:rPr>
          <w:rStyle w:val="apple-converted-space"/>
          <w:rFonts w:cstheme="minorHAnsi"/>
          <w:bdr w:val="none" w:sz="0" w:space="0" w:color="auto" w:frame="1"/>
        </w:rPr>
        <w:t> </w:t>
      </w:r>
    </w:p>
    <w:p w:rsidR="00B40AD7" w:rsidRDefault="00B40AD7" w:rsidP="00C83F4C">
      <w:pPr>
        <w:jc w:val="both"/>
        <w:rPr>
          <w:rFonts w:cstheme="minorHAnsi"/>
          <w:bdr w:val="none" w:sz="0" w:space="0" w:color="auto" w:frame="1"/>
        </w:rPr>
      </w:pPr>
      <w:r w:rsidRPr="00B40AD7">
        <w:rPr>
          <w:rFonts w:cstheme="minorHAnsi"/>
          <w:bdr w:val="none" w:sz="0" w:space="0" w:color="auto" w:frame="1"/>
        </w:rPr>
        <w:t>El método de detección elegido y de la intensidad con la que se debe aplicar en una región, deben basarse en un análisis de riesgos de introducción y dispersión de la plaga en esa región.</w:t>
      </w:r>
      <w:r w:rsidRPr="00B40AD7">
        <w:rPr>
          <w:rStyle w:val="apple-converted-space"/>
          <w:rFonts w:cstheme="minorHAnsi"/>
          <w:bdr w:val="none" w:sz="0" w:space="0" w:color="auto" w:frame="1"/>
        </w:rPr>
        <w:t> </w:t>
      </w:r>
      <w:r w:rsidRPr="00B40AD7">
        <w:rPr>
          <w:rFonts w:cstheme="minorHAnsi"/>
          <w:bdr w:val="none" w:sz="0" w:space="0" w:color="auto" w:frame="1"/>
        </w:rPr>
        <w:t>Una recomendación general es que la trampa-árboles, preferiblemente con diámetros a la altura del pecho (DBH) de 10 y 20 cm, se instalan en grupos de cinco a diez.</w:t>
      </w:r>
      <w:r w:rsidRPr="00B40AD7">
        <w:rPr>
          <w:rStyle w:val="apple-converted-space"/>
          <w:rFonts w:cstheme="minorHAnsi"/>
          <w:bdr w:val="none" w:sz="0" w:space="0" w:color="auto" w:frame="1"/>
        </w:rPr>
        <w:t> </w:t>
      </w:r>
      <w:r w:rsidRPr="00B40AD7">
        <w:rPr>
          <w:rFonts w:cstheme="minorHAnsi"/>
          <w:bdr w:val="none" w:sz="0" w:space="0" w:color="auto" w:frame="1"/>
        </w:rPr>
        <w:t>También la distancia entre los grupos debe variar de acuerdo a donde se establece</w:t>
      </w:r>
      <w:r>
        <w:rPr>
          <w:rFonts w:cstheme="minorHAnsi"/>
          <w:bdr w:val="none" w:sz="0" w:space="0" w:color="auto" w:frame="1"/>
        </w:rPr>
        <w:t xml:space="preserve"> la plaga (Neumann et al, 1987;</w:t>
      </w:r>
      <w:r w:rsidRPr="00B40AD7">
        <w:rPr>
          <w:rFonts w:cstheme="minorHAnsi"/>
          <w:bdr w:val="none" w:sz="0" w:space="0" w:color="auto" w:frame="1"/>
        </w:rPr>
        <w:t xml:space="preserve"> Haugen,</w:t>
      </w:r>
      <w:r w:rsidR="00B56B45">
        <w:rPr>
          <w:rFonts w:cstheme="minorHAnsi"/>
          <w:bdr w:val="none" w:sz="0" w:space="0" w:color="auto" w:frame="1"/>
        </w:rPr>
        <w:t xml:space="preserve"> 1990;</w:t>
      </w:r>
      <w:r w:rsidRPr="00B40AD7">
        <w:rPr>
          <w:rFonts w:cstheme="minorHAnsi"/>
          <w:bdr w:val="none" w:sz="0" w:space="0" w:color="auto" w:frame="1"/>
        </w:rPr>
        <w:t xml:space="preserve"> Iede et al, 1993, 1998).</w:t>
      </w:r>
      <w:r w:rsidRPr="00B40AD7">
        <w:rPr>
          <w:rStyle w:val="apple-converted-space"/>
          <w:rFonts w:cstheme="minorHAnsi"/>
          <w:bdr w:val="none" w:sz="0" w:space="0" w:color="auto" w:frame="1"/>
        </w:rPr>
        <w:t> </w:t>
      </w:r>
      <w:r w:rsidRPr="00B40AD7">
        <w:rPr>
          <w:rFonts w:cstheme="minorHAnsi"/>
          <w:bdr w:val="none" w:sz="0" w:space="0" w:color="auto" w:frame="1"/>
        </w:rPr>
        <w:t xml:space="preserve">Los grupos de árboles-trampa se deben instalar 2 meses antes del pico de aparición de </w:t>
      </w:r>
      <w:r w:rsidRPr="00B40AD7">
        <w:rPr>
          <w:rFonts w:cstheme="minorHAnsi"/>
          <w:i/>
          <w:bdr w:val="none" w:sz="0" w:space="0" w:color="auto" w:frame="1"/>
        </w:rPr>
        <w:t>S. noctilio</w:t>
      </w:r>
      <w:r w:rsidRPr="00B40AD7">
        <w:rPr>
          <w:rFonts w:cstheme="minorHAnsi"/>
          <w:bdr w:val="none" w:sz="0" w:space="0" w:color="auto" w:frame="1"/>
        </w:rPr>
        <w:t>.</w:t>
      </w:r>
    </w:p>
    <w:p w:rsidR="00B40AD7" w:rsidRPr="00331352" w:rsidRDefault="00B40AD7" w:rsidP="00331352">
      <w:pPr>
        <w:pStyle w:val="Prrafodelista"/>
        <w:numPr>
          <w:ilvl w:val="0"/>
          <w:numId w:val="9"/>
        </w:numPr>
        <w:jc w:val="both"/>
        <w:rPr>
          <w:rFonts w:cstheme="minorHAnsi"/>
        </w:rPr>
      </w:pPr>
      <w:r w:rsidRPr="00331352">
        <w:rPr>
          <w:rFonts w:cstheme="minorHAnsi"/>
          <w:b/>
          <w:bCs/>
          <w:bdr w:val="none" w:sz="0" w:space="0" w:color="auto" w:frame="1"/>
        </w:rPr>
        <w:t>Las estrategias de prevención</w:t>
      </w:r>
    </w:p>
    <w:p w:rsidR="00B40AD7" w:rsidRPr="00B40AD7" w:rsidRDefault="00B40AD7" w:rsidP="00C83F4C">
      <w:pPr>
        <w:jc w:val="both"/>
        <w:rPr>
          <w:rFonts w:cstheme="minorHAnsi"/>
        </w:rPr>
      </w:pPr>
      <w:r w:rsidRPr="00B40AD7">
        <w:rPr>
          <w:rFonts w:cstheme="minorHAnsi"/>
          <w:bdr w:val="none" w:sz="0" w:space="0" w:color="auto" w:frame="1"/>
        </w:rPr>
        <w:t xml:space="preserve">Los árboles que son resistentes a </w:t>
      </w:r>
      <w:r w:rsidRPr="00B40AD7">
        <w:rPr>
          <w:rFonts w:cstheme="minorHAnsi"/>
          <w:i/>
          <w:bdr w:val="none" w:sz="0" w:space="0" w:color="auto" w:frame="1"/>
        </w:rPr>
        <w:t>S. noctilio</w:t>
      </w:r>
      <w:r w:rsidRPr="00B40AD7">
        <w:rPr>
          <w:rFonts w:cstheme="minorHAnsi"/>
          <w:bdr w:val="none" w:sz="0" w:space="0" w:color="auto" w:frame="1"/>
        </w:rPr>
        <w:t xml:space="preserve"> son los que permanecen libres de lesiones y siguen creciendo vigorosamente en bloques bien gestionados y buenos sitios, con las condiciones de clima y suelo favorables.</w:t>
      </w:r>
      <w:r w:rsidRPr="00B40AD7">
        <w:rPr>
          <w:rStyle w:val="apple-converted-space"/>
          <w:rFonts w:cstheme="minorHAnsi"/>
          <w:bdr w:val="none" w:sz="0" w:space="0" w:color="auto" w:frame="1"/>
        </w:rPr>
        <w:t> </w:t>
      </w:r>
      <w:r w:rsidRPr="00B40AD7">
        <w:rPr>
          <w:rFonts w:cstheme="minorHAnsi"/>
          <w:bdr w:val="none" w:sz="0" w:space="0" w:color="auto" w:frame="1"/>
        </w:rPr>
        <w:t>El nivel de mortalidad de los árboles está significativamente relacionado con el DAP.</w:t>
      </w:r>
      <w:r w:rsidRPr="00B40AD7">
        <w:rPr>
          <w:rStyle w:val="apple-converted-space"/>
          <w:rFonts w:cstheme="minorHAnsi"/>
          <w:bdr w:val="none" w:sz="0" w:space="0" w:color="auto" w:frame="1"/>
        </w:rPr>
        <w:t> </w:t>
      </w:r>
      <w:r w:rsidRPr="00B40AD7">
        <w:rPr>
          <w:rFonts w:cstheme="minorHAnsi"/>
          <w:bdr w:val="none" w:sz="0" w:space="0" w:color="auto" w:frame="1"/>
        </w:rPr>
        <w:t>El árbol con un DAP baja</w:t>
      </w:r>
      <w:r w:rsidRPr="00B40AD7">
        <w:rPr>
          <w:rFonts w:cstheme="minorHAnsi"/>
          <w:bdr w:val="none" w:sz="0" w:space="0" w:color="auto" w:frame="1"/>
        </w:rPr>
        <w:t xml:space="preserve"> muestran niveles más altos de mortalidad que las más gruesas en el mismo stand.</w:t>
      </w:r>
      <w:r w:rsidRPr="00B40AD7">
        <w:rPr>
          <w:rStyle w:val="apple-converted-space"/>
          <w:rFonts w:cstheme="minorHAnsi"/>
          <w:bdr w:val="none" w:sz="0" w:space="0" w:color="auto" w:frame="1"/>
        </w:rPr>
        <w:t> </w:t>
      </w:r>
      <w:r w:rsidRPr="00B40AD7">
        <w:rPr>
          <w:rFonts w:cstheme="minorHAnsi"/>
          <w:bdr w:val="none" w:sz="0" w:space="0" w:color="auto" w:frame="1"/>
        </w:rPr>
        <w:t>Dilución es una de las prácticas silvícolas más importantes, llevada a cabo con el fin de acelerar o modificar el curso de la com</w:t>
      </w:r>
      <w:r>
        <w:rPr>
          <w:rFonts w:cstheme="minorHAnsi"/>
          <w:bdr w:val="none" w:sz="0" w:space="0" w:color="auto" w:frame="1"/>
        </w:rPr>
        <w:t>petencia (Neumann et al, 1987;</w:t>
      </w:r>
      <w:r w:rsidRPr="00B40AD7">
        <w:rPr>
          <w:rFonts w:cstheme="minorHAnsi"/>
          <w:bdr w:val="none" w:sz="0" w:space="0" w:color="auto" w:frame="1"/>
        </w:rPr>
        <w:t xml:space="preserve"> Iede et al, 1998).</w:t>
      </w:r>
      <w:r w:rsidRPr="00B40AD7">
        <w:rPr>
          <w:rStyle w:val="apple-converted-space"/>
          <w:rFonts w:cstheme="minorHAnsi"/>
          <w:bdr w:val="none" w:sz="0" w:space="0" w:color="auto" w:frame="1"/>
        </w:rPr>
        <w:t> </w:t>
      </w:r>
    </w:p>
    <w:p w:rsidR="00B40AD7" w:rsidRDefault="00B40AD7" w:rsidP="00C83F4C">
      <w:pPr>
        <w:jc w:val="both"/>
        <w:rPr>
          <w:rStyle w:val="apple-converted-space"/>
          <w:rFonts w:ascii="Arial" w:hAnsi="Arial" w:cs="Arial"/>
          <w:color w:val="444444"/>
          <w:sz w:val="21"/>
          <w:szCs w:val="21"/>
          <w:bdr w:val="none" w:sz="0" w:space="0" w:color="auto" w:frame="1"/>
        </w:rPr>
      </w:pPr>
      <w:r w:rsidRPr="00B40AD7">
        <w:rPr>
          <w:rFonts w:cstheme="minorHAnsi"/>
          <w:bdr w:val="none" w:sz="0" w:space="0" w:color="auto" w:frame="1"/>
        </w:rPr>
        <w:t>La mayoría de las prácticas de aclareo reducir las pérdidas debidas a los agentes que dañan no sólo porque funcionan como estrategia de prevención, sino también por el vigor y la resistencia de los árboles se incrementan.</w:t>
      </w:r>
      <w:r w:rsidRPr="00B40AD7">
        <w:rPr>
          <w:rStyle w:val="apple-converted-space"/>
          <w:rFonts w:cstheme="minorHAnsi"/>
          <w:bdr w:val="none" w:sz="0" w:space="0" w:color="auto" w:frame="1"/>
        </w:rPr>
        <w:t> </w:t>
      </w:r>
      <w:r w:rsidRPr="00B40AD7">
        <w:rPr>
          <w:rFonts w:cstheme="minorHAnsi"/>
          <w:bdr w:val="none" w:sz="0" w:space="0" w:color="auto" w:frame="1"/>
        </w:rPr>
        <w:t>Adelgazamiento sólo puede aumentar la susceptibilidad de los árboles al ataque de insectos en circunstancias especiales, por ejemplo, cuando se lleva a cabo durante el períod</w:t>
      </w:r>
      <w:r>
        <w:rPr>
          <w:rFonts w:cstheme="minorHAnsi"/>
          <w:bdr w:val="none" w:sz="0" w:space="0" w:color="auto" w:frame="1"/>
        </w:rPr>
        <w:t>o de vuelo de la plaga (Madden,</w:t>
      </w:r>
      <w:r w:rsidRPr="00B40AD7">
        <w:rPr>
          <w:rFonts w:cstheme="minorHAnsi"/>
          <w:bdr w:val="none" w:sz="0" w:space="0" w:color="auto" w:frame="1"/>
        </w:rPr>
        <w:t>1988).</w:t>
      </w:r>
      <w:r w:rsidRPr="00B40AD7">
        <w:rPr>
          <w:rStyle w:val="apple-converted-space"/>
          <w:rFonts w:cstheme="minorHAnsi"/>
          <w:bdr w:val="none" w:sz="0" w:space="0" w:color="auto" w:frame="1"/>
        </w:rPr>
        <w:t> </w:t>
      </w:r>
      <w:r w:rsidRPr="00B40AD7">
        <w:rPr>
          <w:rFonts w:cstheme="minorHAnsi"/>
          <w:bdr w:val="none" w:sz="0" w:space="0" w:color="auto" w:frame="1"/>
        </w:rPr>
        <w:t xml:space="preserve">Durante los períodos de sequía, afinado plantaciones no son resistentes a </w:t>
      </w:r>
      <w:r w:rsidRPr="00B40AD7">
        <w:rPr>
          <w:rFonts w:cstheme="minorHAnsi"/>
          <w:i/>
          <w:bdr w:val="none" w:sz="0" w:space="0" w:color="auto" w:frame="1"/>
        </w:rPr>
        <w:t>S. noctilio</w:t>
      </w:r>
      <w:r w:rsidRPr="00B40AD7">
        <w:rPr>
          <w:rFonts w:cstheme="minorHAnsi"/>
          <w:bdr w:val="none" w:sz="0" w:space="0" w:color="auto" w:frame="1"/>
        </w:rPr>
        <w:t xml:space="preserve"> ataque</w:t>
      </w:r>
      <w:r>
        <w:rPr>
          <w:rFonts w:ascii="Arial" w:hAnsi="Arial" w:cs="Arial"/>
          <w:color w:val="444444"/>
          <w:sz w:val="21"/>
          <w:szCs w:val="21"/>
          <w:bdr w:val="none" w:sz="0" w:space="0" w:color="auto" w:frame="1"/>
        </w:rPr>
        <w:t>.</w:t>
      </w:r>
      <w:r>
        <w:rPr>
          <w:rStyle w:val="apple-converted-space"/>
          <w:rFonts w:ascii="Arial" w:hAnsi="Arial" w:cs="Arial"/>
          <w:color w:val="444444"/>
          <w:sz w:val="21"/>
          <w:szCs w:val="21"/>
          <w:bdr w:val="none" w:sz="0" w:space="0" w:color="auto" w:frame="1"/>
        </w:rPr>
        <w:t> </w:t>
      </w:r>
    </w:p>
    <w:p w:rsidR="00B40AD7" w:rsidRPr="00331352" w:rsidRDefault="00B40AD7" w:rsidP="00331352">
      <w:pPr>
        <w:pStyle w:val="Prrafodelista"/>
        <w:numPr>
          <w:ilvl w:val="0"/>
          <w:numId w:val="9"/>
        </w:numPr>
        <w:jc w:val="both"/>
        <w:rPr>
          <w:rFonts w:cstheme="minorHAnsi"/>
        </w:rPr>
      </w:pPr>
      <w:r w:rsidRPr="00331352">
        <w:rPr>
          <w:rFonts w:cstheme="minorHAnsi"/>
          <w:b/>
          <w:bCs/>
          <w:bdr w:val="none" w:sz="0" w:space="0" w:color="auto" w:frame="1"/>
        </w:rPr>
        <w:t>Control Biológico</w:t>
      </w:r>
    </w:p>
    <w:p w:rsidR="00B40AD7" w:rsidRPr="00B40AD7" w:rsidRDefault="00B40AD7" w:rsidP="00C83F4C">
      <w:pPr>
        <w:jc w:val="both"/>
        <w:rPr>
          <w:rFonts w:cstheme="minorHAnsi"/>
        </w:rPr>
      </w:pPr>
      <w:r w:rsidRPr="00B40AD7">
        <w:rPr>
          <w:rFonts w:cstheme="minorHAnsi"/>
          <w:bdr w:val="none" w:sz="0" w:space="0" w:color="auto" w:frame="1"/>
        </w:rPr>
        <w:t xml:space="preserve">El control biológico, junto con las estrategias de prevención, es el método más eficiente y económico para el control de </w:t>
      </w:r>
      <w:r w:rsidRPr="00B56B45">
        <w:rPr>
          <w:rFonts w:cstheme="minorHAnsi"/>
          <w:i/>
          <w:bdr w:val="none" w:sz="0" w:space="0" w:color="auto" w:frame="1"/>
        </w:rPr>
        <w:t>S. noctilio</w:t>
      </w:r>
      <w:r w:rsidRPr="00B40AD7">
        <w:rPr>
          <w:rFonts w:cstheme="minorHAnsi"/>
          <w:bdr w:val="none" w:sz="0" w:space="0" w:color="auto" w:frame="1"/>
        </w:rPr>
        <w:t>.</w:t>
      </w:r>
      <w:r w:rsidRPr="00B40AD7">
        <w:rPr>
          <w:rStyle w:val="apple-converted-space"/>
          <w:rFonts w:cstheme="minorHAnsi"/>
          <w:bdr w:val="none" w:sz="0" w:space="0" w:color="auto" w:frame="1"/>
        </w:rPr>
        <w:t> </w:t>
      </w:r>
      <w:r w:rsidRPr="00B56B45">
        <w:rPr>
          <w:rFonts w:cstheme="minorHAnsi"/>
          <w:i/>
          <w:bdr w:val="none" w:sz="0" w:space="0" w:color="auto" w:frame="1"/>
        </w:rPr>
        <w:t>D. siricidicola</w:t>
      </w:r>
      <w:r w:rsidRPr="00B40AD7">
        <w:rPr>
          <w:rFonts w:cstheme="minorHAnsi"/>
          <w:bdr w:val="none" w:sz="0" w:space="0" w:color="auto" w:frame="1"/>
        </w:rPr>
        <w:t xml:space="preserve"> es el agente de control biológico más eficaz de </w:t>
      </w:r>
      <w:r w:rsidRPr="00B56B45">
        <w:rPr>
          <w:rFonts w:cstheme="minorHAnsi"/>
          <w:i/>
          <w:bdr w:val="none" w:sz="0" w:space="0" w:color="auto" w:frame="1"/>
        </w:rPr>
        <w:t>S. noctilio</w:t>
      </w:r>
      <w:r w:rsidRPr="00B40AD7">
        <w:rPr>
          <w:rFonts w:cstheme="minorHAnsi"/>
          <w:bdr w:val="none" w:sz="0" w:space="0" w:color="auto" w:frame="1"/>
        </w:rPr>
        <w:t>.</w:t>
      </w:r>
      <w:r w:rsidRPr="00B40AD7">
        <w:rPr>
          <w:rStyle w:val="apple-converted-space"/>
          <w:rFonts w:cstheme="minorHAnsi"/>
          <w:bdr w:val="none" w:sz="0" w:space="0" w:color="auto" w:frame="1"/>
        </w:rPr>
        <w:t> </w:t>
      </w:r>
      <w:r w:rsidRPr="00B40AD7">
        <w:rPr>
          <w:rFonts w:cstheme="minorHAnsi"/>
          <w:bdr w:val="none" w:sz="0" w:space="0" w:color="auto" w:frame="1"/>
        </w:rPr>
        <w:t>Este nematodo esteriliza hembras y tiene dos ciclos de vida: una vida libre aq</w:t>
      </w:r>
      <w:r w:rsidR="00B56B45">
        <w:rPr>
          <w:rFonts w:cstheme="minorHAnsi"/>
          <w:bdr w:val="none" w:sz="0" w:space="0" w:color="auto" w:frame="1"/>
        </w:rPr>
        <w:t>uel en el que se alimenta de mismo</w:t>
      </w:r>
      <w:r w:rsidRPr="00B40AD7">
        <w:rPr>
          <w:rFonts w:cstheme="minorHAnsi"/>
          <w:bdr w:val="none" w:sz="0" w:space="0" w:color="auto" w:frame="1"/>
        </w:rPr>
        <w:t xml:space="preserve"> hongo simbiótico como asociados de </w:t>
      </w:r>
      <w:r w:rsidRPr="00B56B45">
        <w:rPr>
          <w:rFonts w:cstheme="minorHAnsi"/>
          <w:i/>
          <w:bdr w:val="none" w:sz="0" w:space="0" w:color="auto" w:frame="1"/>
        </w:rPr>
        <w:t>S. noctilio</w:t>
      </w:r>
      <w:r w:rsidRPr="00B40AD7">
        <w:rPr>
          <w:rFonts w:cstheme="minorHAnsi"/>
          <w:bdr w:val="none" w:sz="0" w:space="0" w:color="auto" w:frame="1"/>
        </w:rPr>
        <w:t xml:space="preserve"> con un parasitaria y de vida uno dentro de las larvas, pupas y adultos de </w:t>
      </w:r>
      <w:r w:rsidRPr="00B56B45">
        <w:rPr>
          <w:rFonts w:cstheme="minorHAnsi"/>
          <w:i/>
          <w:bdr w:val="none" w:sz="0" w:space="0" w:color="auto" w:frame="1"/>
        </w:rPr>
        <w:t>S. noctilio</w:t>
      </w:r>
      <w:r w:rsidRPr="00B40AD7">
        <w:rPr>
          <w:rFonts w:cstheme="minorHAnsi"/>
          <w:bdr w:val="none" w:sz="0" w:space="0" w:color="auto" w:frame="1"/>
        </w:rPr>
        <w:t>.</w:t>
      </w:r>
      <w:r w:rsidRPr="00B40AD7">
        <w:rPr>
          <w:rStyle w:val="apple-converted-space"/>
          <w:rFonts w:cstheme="minorHAnsi"/>
          <w:bdr w:val="none" w:sz="0" w:space="0" w:color="auto" w:frame="1"/>
        </w:rPr>
        <w:t> </w:t>
      </w:r>
      <w:r w:rsidRPr="00B40AD7">
        <w:rPr>
          <w:rFonts w:cstheme="minorHAnsi"/>
          <w:bdr w:val="none" w:sz="0" w:space="0" w:color="auto" w:frame="1"/>
        </w:rPr>
        <w:t xml:space="preserve">Como su propio ciclo de vida de vida libre se basa en el hongo, </w:t>
      </w:r>
      <w:r w:rsidRPr="00B56B45">
        <w:rPr>
          <w:rFonts w:cstheme="minorHAnsi"/>
          <w:i/>
          <w:bdr w:val="none" w:sz="0" w:space="0" w:color="auto" w:frame="1"/>
        </w:rPr>
        <w:t>areolatum Amylostereum</w:t>
      </w:r>
      <w:r w:rsidRPr="00B40AD7">
        <w:rPr>
          <w:rFonts w:cstheme="minorHAnsi"/>
          <w:bdr w:val="none" w:sz="0" w:space="0" w:color="auto" w:frame="1"/>
        </w:rPr>
        <w:t>, es fácilmente criado en condiciones de laboratorio y entonces puede ser liberado en el campo</w:t>
      </w:r>
      <w:r w:rsidR="00B56B45">
        <w:rPr>
          <w:rFonts w:cstheme="minorHAnsi"/>
          <w:bdr w:val="none" w:sz="0" w:space="0" w:color="auto" w:frame="1"/>
        </w:rPr>
        <w:t>,</w:t>
      </w:r>
      <w:r w:rsidRPr="00B40AD7">
        <w:rPr>
          <w:rFonts w:cstheme="minorHAnsi"/>
          <w:bdr w:val="none" w:sz="0" w:space="0" w:color="auto" w:frame="1"/>
        </w:rPr>
        <w:t xml:space="preserve"> de aplicación en árboles atacados por </w:t>
      </w:r>
      <w:r w:rsidRPr="00B56B45">
        <w:rPr>
          <w:rFonts w:cstheme="minorHAnsi"/>
          <w:i/>
          <w:bdr w:val="none" w:sz="0" w:space="0" w:color="auto" w:frame="1"/>
        </w:rPr>
        <w:t>S. noctilio</w:t>
      </w:r>
      <w:r w:rsidRPr="00B40AD7">
        <w:rPr>
          <w:rFonts w:cstheme="minorHAnsi"/>
          <w:bdr w:val="none" w:sz="0" w:space="0" w:color="auto" w:frame="1"/>
        </w:rPr>
        <w:t>.</w:t>
      </w:r>
      <w:r w:rsidRPr="00B40AD7">
        <w:rPr>
          <w:rStyle w:val="apple-converted-space"/>
          <w:rFonts w:cstheme="minorHAnsi"/>
          <w:bdr w:val="none" w:sz="0" w:space="0" w:color="auto" w:frame="1"/>
        </w:rPr>
        <w:t> </w:t>
      </w:r>
      <w:r w:rsidRPr="00B40AD7">
        <w:rPr>
          <w:rFonts w:cstheme="minorHAnsi"/>
          <w:bdr w:val="none" w:sz="0" w:space="0" w:color="auto" w:frame="1"/>
        </w:rPr>
        <w:t>Niveles de parasitismo cercanos al 100% se pueden lograr, lo que provoca un colapso en la población avispa (Zondag, 1969; Bedding, 1972; Haugen,</w:t>
      </w:r>
      <w:r w:rsidR="00B56B45">
        <w:rPr>
          <w:rFonts w:cstheme="minorHAnsi"/>
          <w:bdr w:val="none" w:sz="0" w:space="0" w:color="auto" w:frame="1"/>
        </w:rPr>
        <w:t xml:space="preserve"> 1990; </w:t>
      </w:r>
      <w:r w:rsidRPr="00B40AD7">
        <w:rPr>
          <w:rFonts w:cstheme="minorHAnsi"/>
          <w:bdr w:val="none" w:sz="0" w:space="0" w:color="auto" w:frame="1"/>
        </w:rPr>
        <w:t>Iede et al., 1998).</w:t>
      </w:r>
      <w:r w:rsidRPr="00B40AD7">
        <w:rPr>
          <w:rStyle w:val="apple-converted-space"/>
          <w:rFonts w:cstheme="minorHAnsi"/>
          <w:bdr w:val="none" w:sz="0" w:space="0" w:color="auto" w:frame="1"/>
        </w:rPr>
        <w:t> </w:t>
      </w:r>
    </w:p>
    <w:p w:rsidR="00B40AD7" w:rsidRPr="00B40AD7" w:rsidRDefault="00B40AD7" w:rsidP="00C83F4C">
      <w:pPr>
        <w:jc w:val="both"/>
        <w:rPr>
          <w:rFonts w:cstheme="minorHAnsi"/>
        </w:rPr>
      </w:pPr>
      <w:r w:rsidRPr="00B40AD7">
        <w:rPr>
          <w:rFonts w:cstheme="minorHAnsi"/>
          <w:bdr w:val="none" w:sz="0" w:space="0" w:color="auto" w:frame="1"/>
        </w:rPr>
        <w:t>La inoculación de</w:t>
      </w:r>
      <w:r w:rsidRPr="00B56B45">
        <w:rPr>
          <w:rFonts w:cstheme="minorHAnsi"/>
          <w:i/>
          <w:bdr w:val="none" w:sz="0" w:space="0" w:color="auto" w:frame="1"/>
        </w:rPr>
        <w:t xml:space="preserve"> D. siricidicola </w:t>
      </w:r>
      <w:r w:rsidRPr="00B40AD7">
        <w:rPr>
          <w:rFonts w:cstheme="minorHAnsi"/>
          <w:bdr w:val="none" w:sz="0" w:space="0" w:color="auto" w:frame="1"/>
        </w:rPr>
        <w:t xml:space="preserve">en árboles </w:t>
      </w:r>
      <w:r w:rsidR="00B56B45">
        <w:rPr>
          <w:rFonts w:cstheme="minorHAnsi"/>
          <w:bdr w:val="none" w:sz="0" w:space="0" w:color="auto" w:frame="1"/>
        </w:rPr>
        <w:t>es descrito por Bedding (1972)</w:t>
      </w:r>
      <w:r w:rsidRPr="00B40AD7">
        <w:rPr>
          <w:rFonts w:cstheme="minorHAnsi"/>
          <w:bdr w:val="none" w:sz="0" w:space="0" w:color="auto" w:frame="1"/>
        </w:rPr>
        <w:t>, Neumann et al.</w:t>
      </w:r>
      <w:r w:rsidRPr="00B40AD7">
        <w:rPr>
          <w:rStyle w:val="apple-converted-space"/>
          <w:rFonts w:cstheme="minorHAnsi"/>
          <w:bdr w:val="none" w:sz="0" w:space="0" w:color="auto" w:frame="1"/>
        </w:rPr>
        <w:t> </w:t>
      </w:r>
      <w:r w:rsidRPr="00B40AD7">
        <w:rPr>
          <w:rFonts w:cstheme="minorHAnsi"/>
          <w:bdr w:val="none" w:sz="0" w:space="0" w:color="auto" w:frame="1"/>
        </w:rPr>
        <w:t>(1987), Haugen (</w:t>
      </w:r>
      <w:r w:rsidR="00B56B45">
        <w:rPr>
          <w:rFonts w:cstheme="minorHAnsi"/>
          <w:bdr w:val="none" w:sz="0" w:space="0" w:color="auto" w:frame="1"/>
        </w:rPr>
        <w:t>1990)</w:t>
      </w:r>
      <w:r w:rsidRPr="00B40AD7">
        <w:rPr>
          <w:rFonts w:cstheme="minorHAnsi"/>
          <w:bdr w:val="none" w:sz="0" w:space="0" w:color="auto" w:frame="1"/>
        </w:rPr>
        <w:t xml:space="preserve"> y Iede et al.</w:t>
      </w:r>
      <w:r w:rsidRPr="00B40AD7">
        <w:rPr>
          <w:rStyle w:val="apple-converted-space"/>
          <w:rFonts w:cstheme="minorHAnsi"/>
          <w:bdr w:val="none" w:sz="0" w:space="0" w:color="auto" w:frame="1"/>
        </w:rPr>
        <w:t> </w:t>
      </w:r>
      <w:r w:rsidRPr="00B40AD7">
        <w:rPr>
          <w:rFonts w:cstheme="minorHAnsi"/>
          <w:bdr w:val="none" w:sz="0" w:space="0" w:color="auto" w:frame="1"/>
        </w:rPr>
        <w:t>(1993, 1998).</w:t>
      </w:r>
      <w:r w:rsidRPr="00B40AD7">
        <w:rPr>
          <w:rStyle w:val="apple-converted-space"/>
          <w:rFonts w:cstheme="minorHAnsi"/>
          <w:bdr w:val="none" w:sz="0" w:space="0" w:color="auto" w:frame="1"/>
        </w:rPr>
        <w:t> </w:t>
      </w:r>
      <w:r w:rsidRPr="00B40AD7">
        <w:rPr>
          <w:rFonts w:cstheme="minorHAnsi"/>
          <w:bdr w:val="none" w:sz="0" w:space="0" w:color="auto" w:frame="1"/>
        </w:rPr>
        <w:t xml:space="preserve">El nivel medio de parasitismo logrado con </w:t>
      </w:r>
      <w:r w:rsidRPr="00B56B45">
        <w:rPr>
          <w:rFonts w:cstheme="minorHAnsi"/>
          <w:i/>
          <w:bdr w:val="none" w:sz="0" w:space="0" w:color="auto" w:frame="1"/>
        </w:rPr>
        <w:t>D. siricidicola</w:t>
      </w:r>
      <w:r w:rsidRPr="00B40AD7">
        <w:rPr>
          <w:rFonts w:cstheme="minorHAnsi"/>
          <w:bdr w:val="none" w:sz="0" w:space="0" w:color="auto" w:frame="1"/>
        </w:rPr>
        <w:t xml:space="preserve"> en Australia fue del 70%.</w:t>
      </w:r>
      <w:r w:rsidRPr="00B40AD7">
        <w:rPr>
          <w:rStyle w:val="apple-converted-space"/>
          <w:rFonts w:cstheme="minorHAnsi"/>
          <w:bdr w:val="none" w:sz="0" w:space="0" w:color="auto" w:frame="1"/>
        </w:rPr>
        <w:t> </w:t>
      </w:r>
      <w:r w:rsidRPr="00B40AD7">
        <w:rPr>
          <w:rFonts w:cstheme="minorHAnsi"/>
          <w:bdr w:val="none" w:sz="0" w:space="0" w:color="auto" w:frame="1"/>
        </w:rPr>
        <w:t xml:space="preserve">Aunque el nivel de parasitismo verificado por el nematodo en zonas </w:t>
      </w:r>
      <w:r w:rsidRPr="00B40AD7">
        <w:rPr>
          <w:rFonts w:cstheme="minorHAnsi"/>
          <w:bdr w:val="none" w:sz="0" w:space="0" w:color="auto" w:frame="1"/>
        </w:rPr>
        <w:lastRenderedPageBreak/>
        <w:t>atacadas de Brasil ha sido bastante variable, se encontró a ser tan alto como 70 o 80% en la mayoría de las áreas monitorizadas (Iede et al., 1998).</w:t>
      </w:r>
      <w:r w:rsidRPr="00B40AD7">
        <w:rPr>
          <w:rStyle w:val="apple-converted-space"/>
          <w:rFonts w:cstheme="minorHAnsi"/>
          <w:bdr w:val="none" w:sz="0" w:space="0" w:color="auto" w:frame="1"/>
        </w:rPr>
        <w:t> </w:t>
      </w:r>
    </w:p>
    <w:p w:rsidR="00B40AD7" w:rsidRPr="00B40AD7" w:rsidRDefault="00B40AD7" w:rsidP="00C83F4C">
      <w:pPr>
        <w:jc w:val="both"/>
        <w:rPr>
          <w:rFonts w:cstheme="minorHAnsi"/>
        </w:rPr>
      </w:pPr>
      <w:r w:rsidRPr="00B56B45">
        <w:rPr>
          <w:rFonts w:cstheme="minorHAnsi"/>
          <w:i/>
          <w:bdr w:val="none" w:sz="0" w:space="0" w:color="auto" w:frame="1"/>
        </w:rPr>
        <w:t>I. leucospoides</w:t>
      </w:r>
      <w:r w:rsidRPr="00B40AD7">
        <w:rPr>
          <w:rFonts w:cstheme="minorHAnsi"/>
          <w:bdr w:val="none" w:sz="0" w:space="0" w:color="auto" w:frame="1"/>
        </w:rPr>
        <w:t xml:space="preserve"> parasita los huevos, de primer estadio y larvas de segundo instar de </w:t>
      </w:r>
      <w:r w:rsidRPr="00B56B45">
        <w:rPr>
          <w:rFonts w:cstheme="minorHAnsi"/>
          <w:i/>
          <w:bdr w:val="none" w:sz="0" w:space="0" w:color="auto" w:frame="1"/>
        </w:rPr>
        <w:t>S. noctilio</w:t>
      </w:r>
      <w:r w:rsidRPr="00B40AD7">
        <w:rPr>
          <w:rFonts w:cstheme="minorHAnsi"/>
          <w:bdr w:val="none" w:sz="0" w:space="0" w:color="auto" w:frame="1"/>
        </w:rPr>
        <w:t>.</w:t>
      </w:r>
      <w:r w:rsidRPr="00B40AD7">
        <w:rPr>
          <w:rStyle w:val="apple-converted-space"/>
          <w:rFonts w:cstheme="minorHAnsi"/>
          <w:bdr w:val="none" w:sz="0" w:space="0" w:color="auto" w:frame="1"/>
        </w:rPr>
        <w:t> </w:t>
      </w:r>
      <w:r w:rsidRPr="00B40AD7">
        <w:rPr>
          <w:rFonts w:cstheme="minorHAnsi"/>
          <w:bdr w:val="none" w:sz="0" w:space="0" w:color="auto" w:frame="1"/>
        </w:rPr>
        <w:t xml:space="preserve">Este parasitoide se siente atraída por el olor de </w:t>
      </w:r>
      <w:r w:rsidRPr="00B56B45">
        <w:rPr>
          <w:rFonts w:cstheme="minorHAnsi"/>
          <w:i/>
          <w:bdr w:val="none" w:sz="0" w:space="0" w:color="auto" w:frame="1"/>
        </w:rPr>
        <w:t>A. areolatum</w:t>
      </w:r>
      <w:r w:rsidRPr="00B40AD7">
        <w:rPr>
          <w:rFonts w:cstheme="minorHAnsi"/>
          <w:bdr w:val="none" w:sz="0" w:space="0" w:color="auto" w:frame="1"/>
        </w:rPr>
        <w:t>, ya que comienza a extenderse (Zondag, 1959; Madden, 1968; Taylor, 1981).</w:t>
      </w:r>
      <w:r w:rsidRPr="00B40AD7">
        <w:rPr>
          <w:rStyle w:val="apple-converted-space"/>
          <w:rFonts w:cstheme="minorHAnsi"/>
          <w:bdr w:val="none" w:sz="0" w:space="0" w:color="auto" w:frame="1"/>
        </w:rPr>
        <w:t> </w:t>
      </w:r>
    </w:p>
    <w:p w:rsidR="00B56B45" w:rsidRDefault="00B40AD7" w:rsidP="00C83F4C">
      <w:pPr>
        <w:jc w:val="both"/>
        <w:rPr>
          <w:rFonts w:cstheme="minorHAnsi"/>
        </w:rPr>
      </w:pPr>
      <w:r w:rsidRPr="00B40AD7">
        <w:rPr>
          <w:rFonts w:cstheme="minorHAnsi"/>
          <w:bdr w:val="none" w:sz="0" w:space="0" w:color="auto" w:frame="1"/>
        </w:rPr>
        <w:t>Los parásitos, persuasoria Rhyssa y nortoni Megarhyssa, tienen ovipositores largos y, por tanto, las larvas de ataque que se encuentran en las etapas avanzadas de desarrollo.</w:t>
      </w:r>
      <w:r w:rsidRPr="00B40AD7">
        <w:rPr>
          <w:rStyle w:val="apple-converted-space"/>
          <w:rFonts w:cstheme="minorHAnsi"/>
          <w:bdr w:val="none" w:sz="0" w:space="0" w:color="auto" w:frame="1"/>
        </w:rPr>
        <w:t> </w:t>
      </w:r>
      <w:r w:rsidRPr="00B40AD7">
        <w:rPr>
          <w:rFonts w:cstheme="minorHAnsi"/>
          <w:bdr w:val="none" w:sz="0" w:space="0" w:color="auto" w:frame="1"/>
        </w:rPr>
        <w:t>Los parásitos introducen el ovipositor en la madera en busca de las larvas de acogida.</w:t>
      </w:r>
      <w:r w:rsidRPr="00B40AD7">
        <w:rPr>
          <w:rStyle w:val="apple-converted-space"/>
          <w:rFonts w:cstheme="minorHAnsi"/>
          <w:bdr w:val="none" w:sz="0" w:space="0" w:color="auto" w:frame="1"/>
        </w:rPr>
        <w:t> </w:t>
      </w:r>
      <w:r w:rsidR="00B56B45" w:rsidRPr="00B40AD7">
        <w:rPr>
          <w:rFonts w:cstheme="minorHAnsi"/>
          <w:bdr w:val="none" w:sz="0" w:space="0" w:color="auto" w:frame="1"/>
        </w:rPr>
        <w:t>Las larvas se paralizaron</w:t>
      </w:r>
      <w:r w:rsidRPr="00B40AD7">
        <w:rPr>
          <w:rFonts w:cstheme="minorHAnsi"/>
          <w:bdr w:val="none" w:sz="0" w:space="0" w:color="auto" w:frame="1"/>
        </w:rPr>
        <w:t xml:space="preserve"> cuando picaban por el parásito y los huevos del parásito se pusieron entonces en el cuerpo del huésped.</w:t>
      </w:r>
      <w:r w:rsidRPr="00B40AD7">
        <w:rPr>
          <w:rStyle w:val="apple-converted-space"/>
          <w:rFonts w:cstheme="minorHAnsi"/>
          <w:bdr w:val="none" w:sz="0" w:space="0" w:color="auto" w:frame="1"/>
        </w:rPr>
        <w:t> </w:t>
      </w:r>
      <w:r w:rsidRPr="00B40AD7">
        <w:rPr>
          <w:rFonts w:cstheme="minorHAnsi"/>
          <w:bdr w:val="none" w:sz="0" w:space="0" w:color="auto" w:frame="1"/>
        </w:rPr>
        <w:t>Después de salir del cascarón, las larvas del parásito se alimentan externamente y, después de consumir el anfitrión, se desarrollan en pupas.</w:t>
      </w:r>
      <w:r w:rsidRPr="00B40AD7">
        <w:rPr>
          <w:rStyle w:val="apple-converted-space"/>
          <w:rFonts w:cstheme="minorHAnsi"/>
          <w:bdr w:val="none" w:sz="0" w:space="0" w:color="auto" w:frame="1"/>
        </w:rPr>
        <w:t> </w:t>
      </w:r>
      <w:r w:rsidRPr="00B40AD7">
        <w:rPr>
          <w:rFonts w:cstheme="minorHAnsi"/>
          <w:bdr w:val="none" w:sz="0" w:space="0" w:color="auto" w:frame="1"/>
        </w:rPr>
        <w:t>En este grupo de especies, la mayoría de los miembros de cada generación se someten a una diapausa en la etapa larval, una vez que estén completamente alimentados.</w:t>
      </w:r>
      <w:r w:rsidRPr="00B40AD7">
        <w:rPr>
          <w:rStyle w:val="apple-converted-space"/>
          <w:rFonts w:cstheme="minorHAnsi"/>
          <w:bdr w:val="none" w:sz="0" w:space="0" w:color="auto" w:frame="1"/>
        </w:rPr>
        <w:t> </w:t>
      </w:r>
      <w:r w:rsidRPr="00B40AD7">
        <w:rPr>
          <w:rFonts w:cstheme="minorHAnsi"/>
          <w:bdr w:val="none" w:sz="0" w:space="0" w:color="auto" w:frame="1"/>
        </w:rPr>
        <w:t>Pupan en la primavera y emergen cuando el movimiento larvas de acogida hacia la corteza de los árboles para pupar.</w:t>
      </w:r>
      <w:r w:rsidRPr="00B40AD7">
        <w:rPr>
          <w:rStyle w:val="apple-converted-space"/>
          <w:rFonts w:cstheme="minorHAnsi"/>
          <w:bdr w:val="none" w:sz="0" w:space="0" w:color="auto" w:frame="1"/>
        </w:rPr>
        <w:t> </w:t>
      </w:r>
    </w:p>
    <w:p w:rsidR="00B40AD7" w:rsidRPr="00B40AD7" w:rsidRDefault="00B40AD7" w:rsidP="00C83F4C">
      <w:pPr>
        <w:jc w:val="both"/>
        <w:rPr>
          <w:rFonts w:cstheme="minorHAnsi"/>
        </w:rPr>
      </w:pPr>
      <w:r w:rsidRPr="00B40AD7">
        <w:rPr>
          <w:rFonts w:cstheme="minorHAnsi"/>
          <w:bdr w:val="none" w:sz="0" w:space="0" w:color="auto" w:frame="1"/>
        </w:rPr>
        <w:t>El complejo de los parásitos (</w:t>
      </w:r>
      <w:r w:rsidRPr="00B56B45">
        <w:rPr>
          <w:rFonts w:cstheme="minorHAnsi"/>
          <w:i/>
          <w:bdr w:val="none" w:sz="0" w:space="0" w:color="auto" w:frame="1"/>
        </w:rPr>
        <w:t>Ibalia sp. Y Rhyssa sp</w:t>
      </w:r>
      <w:r w:rsidRPr="00B40AD7">
        <w:rPr>
          <w:rFonts w:cstheme="minorHAnsi"/>
          <w:bdr w:val="none" w:sz="0" w:space="0" w:color="auto" w:frame="1"/>
        </w:rPr>
        <w:t xml:space="preserve">.) Puede eliminar aproximadamente el 40% de las poblaciones de </w:t>
      </w:r>
      <w:r w:rsidRPr="00B56B45">
        <w:rPr>
          <w:rFonts w:cstheme="minorHAnsi"/>
          <w:i/>
          <w:bdr w:val="none" w:sz="0" w:space="0" w:color="auto" w:frame="1"/>
        </w:rPr>
        <w:t>S. noctilio</w:t>
      </w:r>
      <w:r w:rsidRPr="00B40AD7">
        <w:rPr>
          <w:rFonts w:cstheme="minorHAnsi"/>
          <w:bdr w:val="none" w:sz="0" w:space="0" w:color="auto" w:frame="1"/>
        </w:rPr>
        <w:t xml:space="preserve"> en algunos lugares (Neumann et al., 1987).</w:t>
      </w:r>
      <w:r w:rsidRPr="00B40AD7">
        <w:rPr>
          <w:rStyle w:val="apple-converted-space"/>
          <w:rFonts w:cstheme="minorHAnsi"/>
          <w:bdr w:val="none" w:sz="0" w:space="0" w:color="auto" w:frame="1"/>
        </w:rPr>
        <w:t> </w:t>
      </w:r>
      <w:r w:rsidRPr="00B40AD7">
        <w:rPr>
          <w:rFonts w:cstheme="minorHAnsi"/>
          <w:bdr w:val="none" w:sz="0" w:space="0" w:color="auto" w:frame="1"/>
        </w:rPr>
        <w:t xml:space="preserve">Sin embargo, no supera esto y por lo tanto es un porcentaje insuficiente para mantener los ataques de </w:t>
      </w:r>
      <w:r w:rsidRPr="00B56B45">
        <w:rPr>
          <w:rFonts w:cstheme="minorHAnsi"/>
          <w:i/>
          <w:bdr w:val="none" w:sz="0" w:space="0" w:color="auto" w:frame="1"/>
        </w:rPr>
        <w:t>S. noctilio</w:t>
      </w:r>
      <w:r w:rsidRPr="00B40AD7">
        <w:rPr>
          <w:rFonts w:cstheme="minorHAnsi"/>
          <w:bdr w:val="none" w:sz="0" w:space="0" w:color="auto" w:frame="1"/>
        </w:rPr>
        <w:t xml:space="preserve"> alcance niveles altos.</w:t>
      </w:r>
      <w:r w:rsidRPr="00B40AD7">
        <w:rPr>
          <w:rStyle w:val="apple-converted-space"/>
          <w:rFonts w:cstheme="minorHAnsi"/>
          <w:bdr w:val="none" w:sz="0" w:space="0" w:color="auto" w:frame="1"/>
        </w:rPr>
        <w:t> </w:t>
      </w:r>
      <w:r w:rsidRPr="00B40AD7">
        <w:rPr>
          <w:rFonts w:cstheme="minorHAnsi"/>
          <w:bdr w:val="none" w:sz="0" w:space="0" w:color="auto" w:frame="1"/>
        </w:rPr>
        <w:t xml:space="preserve">Sin embargo, el </w:t>
      </w:r>
      <w:r w:rsidR="00331352" w:rsidRPr="00B40AD7">
        <w:rPr>
          <w:rFonts w:cstheme="minorHAnsi"/>
          <w:bdr w:val="none" w:sz="0" w:space="0" w:color="auto" w:frame="1"/>
        </w:rPr>
        <w:t>complejo parasitario</w:t>
      </w:r>
      <w:r w:rsidRPr="00B40AD7">
        <w:rPr>
          <w:rFonts w:cstheme="minorHAnsi"/>
          <w:bdr w:val="none" w:sz="0" w:space="0" w:color="auto" w:frame="1"/>
        </w:rPr>
        <w:t xml:space="preserve"> es importante para el mantenimiento del equilibrio de los ecosistemas / plagas (Neumann et al, 1987;</w:t>
      </w:r>
      <w:r w:rsidR="00B56B45">
        <w:rPr>
          <w:rFonts w:cstheme="minorHAnsi"/>
          <w:bdr w:val="none" w:sz="0" w:space="0" w:color="auto" w:frame="1"/>
        </w:rPr>
        <w:t xml:space="preserve"> Haugen</w:t>
      </w:r>
      <w:r w:rsidRPr="00B40AD7">
        <w:rPr>
          <w:rFonts w:cstheme="minorHAnsi"/>
          <w:bdr w:val="none" w:sz="0" w:space="0" w:color="auto" w:frame="1"/>
        </w:rPr>
        <w:t xml:space="preserve"> 1990).</w:t>
      </w:r>
    </w:p>
    <w:p w:rsidR="002A508D" w:rsidRDefault="002A508D" w:rsidP="007404EA">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t>Bibliografía</w:t>
      </w:r>
    </w:p>
    <w:p w:rsidR="00DB347D" w:rsidRDefault="00DB347D" w:rsidP="00863BB9">
      <w:pPr>
        <w:jc w:val="both"/>
      </w:pPr>
      <w:r w:rsidRPr="00DB347D">
        <w:rPr>
          <w:rFonts w:eastAsia="Times New Roman" w:cstheme="minorHAnsi"/>
          <w:lang w:eastAsia="es-MX"/>
        </w:rPr>
        <w:t>Ayres MP, Pena R, Lombardo JA, Lombardero MJ. 2014. Los patrones de uso de anfitrión de la avispa europea, </w:t>
      </w:r>
      <w:r w:rsidRPr="00DB347D">
        <w:rPr>
          <w:rFonts w:eastAsia="Times New Roman" w:cstheme="minorHAnsi"/>
          <w:i/>
          <w:iCs/>
          <w:lang w:eastAsia="es-MX"/>
        </w:rPr>
        <w:t>Sirex noctilio</w:t>
      </w:r>
      <w:r w:rsidRPr="00DB347D">
        <w:rPr>
          <w:rFonts w:eastAsia="Times New Roman" w:cstheme="minorHAnsi"/>
          <w:lang w:eastAsia="es-MX"/>
        </w:rPr>
        <w:t>, en su área de distribución natural e invadió. PLOS ONE 9: e90321.</w:t>
      </w:r>
    </w:p>
    <w:p w:rsidR="00DB347D" w:rsidRDefault="00DB347D" w:rsidP="00863BB9">
      <w:pPr>
        <w:spacing w:before="200"/>
        <w:jc w:val="both"/>
        <w:rPr>
          <w:rFonts w:cstheme="minorHAnsi"/>
        </w:rPr>
      </w:pPr>
      <w:hyperlink r:id="rId14" w:history="1">
        <w:r w:rsidRPr="00306AE9">
          <w:rPr>
            <w:rStyle w:val="Hipervnculo"/>
            <w:rFonts w:cstheme="minorHAnsi"/>
            <w:color w:val="auto"/>
            <w:u w:val="none"/>
            <w:bdr w:val="none" w:sz="0" w:space="0" w:color="auto" w:frame="1"/>
          </w:rPr>
          <w:t>Bedding RA, 1972. Biología de Deladenus siricidicola (Neotylenchidae) un parásito nematodo entomófagos-mycetophagous en woodwasps Siricid.</w:t>
        </w:r>
        <w:r w:rsidRPr="00306AE9">
          <w:rPr>
            <w:rStyle w:val="apple-converted-space"/>
            <w:rFonts w:cstheme="minorHAnsi"/>
            <w:bdr w:val="none" w:sz="0" w:space="0" w:color="auto" w:frame="1"/>
          </w:rPr>
          <w:t> </w:t>
        </w:r>
        <w:r w:rsidRPr="00306AE9">
          <w:rPr>
            <w:rStyle w:val="Hipervnculo"/>
            <w:rFonts w:cstheme="minorHAnsi"/>
            <w:color w:val="auto"/>
            <w:u w:val="none"/>
            <w:bdr w:val="none" w:sz="0" w:space="0" w:color="auto" w:frame="1"/>
          </w:rPr>
          <w:t>Nematologica, 18: 482-493</w:t>
        </w:r>
      </w:hyperlink>
      <w:r>
        <w:rPr>
          <w:rFonts w:cstheme="minorHAnsi"/>
        </w:rPr>
        <w:t>.</w:t>
      </w:r>
    </w:p>
    <w:p w:rsidR="00DB347D" w:rsidRPr="00DB347D" w:rsidRDefault="00DB347D" w:rsidP="00863BB9">
      <w:pPr>
        <w:spacing w:before="200"/>
        <w:jc w:val="both"/>
        <w:rPr>
          <w:rFonts w:cstheme="minorHAnsi"/>
          <w:lang w:val="en-US"/>
        </w:rPr>
      </w:pPr>
      <w:r w:rsidRPr="00306AE9">
        <w:rPr>
          <w:rFonts w:cstheme="minorHAnsi"/>
          <w:lang w:val="en-US"/>
        </w:rPr>
        <w:t xml:space="preserve">CABI. 2006. Crop protection compendium. Commonwealth Agricultural Bureau International(CABI). </w:t>
      </w:r>
      <w:r w:rsidRPr="00DB347D">
        <w:rPr>
          <w:rFonts w:cstheme="minorHAnsi"/>
          <w:lang w:val="en-US"/>
        </w:rPr>
        <w:t>Wallingford, United Kingdom</w:t>
      </w:r>
      <w:r w:rsidRPr="00DB347D">
        <w:rPr>
          <w:rFonts w:cstheme="minorHAnsi"/>
          <w:lang w:val="en-US"/>
        </w:rPr>
        <w:t>.</w:t>
      </w:r>
    </w:p>
    <w:p w:rsidR="00DB347D" w:rsidRDefault="00DB347D" w:rsidP="00863BB9">
      <w:pPr>
        <w:spacing w:before="200"/>
        <w:jc w:val="both"/>
        <w:rPr>
          <w:rFonts w:cstheme="minorHAnsi"/>
          <w:lang w:val="en-US"/>
        </w:rPr>
      </w:pPr>
      <w:r w:rsidRPr="00306AE9">
        <w:rPr>
          <w:rFonts w:cstheme="minorHAnsi"/>
          <w:lang w:val="en-US"/>
        </w:rPr>
        <w:t xml:space="preserve">Ciesla WM, 2003. European woodwasp - a potential threat to North America's Conifer Forests. </w:t>
      </w:r>
      <w:r w:rsidRPr="00DB347D">
        <w:rPr>
          <w:rFonts w:cstheme="minorHAnsi"/>
          <w:lang w:val="en-US"/>
        </w:rPr>
        <w:t>Journal of Forestry, 18-23</w:t>
      </w:r>
      <w:r>
        <w:rPr>
          <w:rFonts w:cstheme="minorHAnsi"/>
          <w:lang w:val="en-US"/>
        </w:rPr>
        <w:t>.</w:t>
      </w:r>
    </w:p>
    <w:p w:rsidR="00DB347D" w:rsidRDefault="00DB347D" w:rsidP="00863BB9">
      <w:pPr>
        <w:spacing w:before="200"/>
        <w:jc w:val="both"/>
        <w:rPr>
          <w:rFonts w:eastAsia="Times New Roman" w:cstheme="minorHAnsi"/>
          <w:lang w:eastAsia="es-MX"/>
        </w:rPr>
      </w:pPr>
      <w:r w:rsidRPr="004756F3">
        <w:rPr>
          <w:rFonts w:eastAsia="Times New Roman" w:cstheme="minorHAnsi"/>
          <w:lang w:val="en-US" w:eastAsia="es-MX"/>
        </w:rPr>
        <w:t>Dodds KJ, de Groot P, Orwig DA.</w:t>
      </w:r>
      <w:r w:rsidRPr="00DB347D">
        <w:rPr>
          <w:rFonts w:eastAsia="Times New Roman" w:cstheme="minorHAnsi"/>
          <w:lang w:val="en-US" w:eastAsia="es-MX"/>
        </w:rPr>
        <w:t> </w:t>
      </w:r>
      <w:r w:rsidRPr="004756F3">
        <w:rPr>
          <w:rFonts w:eastAsia="Times New Roman" w:cstheme="minorHAnsi"/>
          <w:lang w:val="en-US" w:eastAsia="es-MX"/>
        </w:rPr>
        <w:t xml:space="preserve">2010. </w:t>
      </w:r>
      <w:r w:rsidRPr="004756F3">
        <w:rPr>
          <w:rFonts w:eastAsia="Times New Roman" w:cstheme="minorHAnsi"/>
          <w:lang w:eastAsia="es-MX"/>
        </w:rPr>
        <w:t>El impacto de</w:t>
      </w:r>
      <w:r w:rsidRPr="00306AE9">
        <w:rPr>
          <w:rFonts w:eastAsia="Times New Roman" w:cstheme="minorHAnsi"/>
          <w:lang w:eastAsia="es-MX"/>
        </w:rPr>
        <w:t> </w:t>
      </w:r>
      <w:r w:rsidRPr="00306AE9">
        <w:rPr>
          <w:rFonts w:eastAsia="Times New Roman" w:cstheme="minorHAnsi"/>
          <w:i/>
          <w:iCs/>
          <w:lang w:eastAsia="es-MX"/>
        </w:rPr>
        <w:t>Sirex noctilio</w:t>
      </w:r>
      <w:r w:rsidRPr="00306AE9">
        <w:rPr>
          <w:rFonts w:eastAsia="Times New Roman" w:cstheme="minorHAnsi"/>
          <w:lang w:eastAsia="es-MX"/>
        </w:rPr>
        <w:t> </w:t>
      </w:r>
      <w:r w:rsidRPr="004756F3">
        <w:rPr>
          <w:rFonts w:eastAsia="Times New Roman" w:cstheme="minorHAnsi"/>
          <w:lang w:eastAsia="es-MX"/>
        </w:rPr>
        <w:t>en</w:t>
      </w:r>
      <w:r w:rsidRPr="00306AE9">
        <w:rPr>
          <w:rFonts w:eastAsia="Times New Roman" w:cstheme="minorHAnsi"/>
          <w:lang w:eastAsia="es-MX"/>
        </w:rPr>
        <w:t> </w:t>
      </w:r>
      <w:r w:rsidRPr="00306AE9">
        <w:rPr>
          <w:rFonts w:eastAsia="Times New Roman" w:cstheme="minorHAnsi"/>
          <w:i/>
          <w:iCs/>
          <w:lang w:eastAsia="es-MX"/>
        </w:rPr>
        <w:t>Pinus resinosa</w:t>
      </w:r>
      <w:r w:rsidRPr="00306AE9">
        <w:rPr>
          <w:rFonts w:eastAsia="Times New Roman" w:cstheme="minorHAnsi"/>
          <w:lang w:eastAsia="es-MX"/>
        </w:rPr>
        <w:t> </w:t>
      </w:r>
      <w:r w:rsidRPr="004756F3">
        <w:rPr>
          <w:rFonts w:eastAsia="Times New Roman" w:cstheme="minorHAnsi"/>
          <w:lang w:eastAsia="es-MX"/>
        </w:rPr>
        <w:t>y</w:t>
      </w:r>
      <w:r w:rsidRPr="00306AE9">
        <w:rPr>
          <w:rFonts w:eastAsia="Times New Roman" w:cstheme="minorHAnsi"/>
          <w:lang w:eastAsia="es-MX"/>
        </w:rPr>
        <w:t> </w:t>
      </w:r>
      <w:r w:rsidRPr="00306AE9">
        <w:rPr>
          <w:rFonts w:eastAsia="Times New Roman" w:cstheme="minorHAnsi"/>
          <w:i/>
          <w:iCs/>
          <w:lang w:eastAsia="es-MX"/>
        </w:rPr>
        <w:t>Pinus sylvestris</w:t>
      </w:r>
      <w:r w:rsidRPr="004756F3">
        <w:rPr>
          <w:rFonts w:eastAsia="Times New Roman" w:cstheme="minorHAnsi"/>
          <w:lang w:eastAsia="es-MX"/>
        </w:rPr>
        <w:t>destaca en Nueva York y Ontario.</w:t>
      </w:r>
      <w:r w:rsidRPr="00306AE9">
        <w:rPr>
          <w:rFonts w:eastAsia="Times New Roman" w:cstheme="minorHAnsi"/>
          <w:lang w:eastAsia="es-MX"/>
        </w:rPr>
        <w:t> </w:t>
      </w:r>
      <w:r w:rsidRPr="004756F3">
        <w:rPr>
          <w:rFonts w:eastAsia="Times New Roman" w:cstheme="minorHAnsi"/>
          <w:lang w:eastAsia="es-MX"/>
        </w:rPr>
        <w:t>Canadian Journal of Research Forest 40: 212-223</w:t>
      </w:r>
      <w:r>
        <w:rPr>
          <w:rFonts w:eastAsia="Times New Roman" w:cstheme="minorHAnsi"/>
          <w:lang w:eastAsia="es-MX"/>
        </w:rPr>
        <w:t>.</w:t>
      </w:r>
    </w:p>
    <w:p w:rsidR="00DB347D" w:rsidRDefault="00DB347D" w:rsidP="00863BB9">
      <w:pPr>
        <w:spacing w:before="200"/>
        <w:jc w:val="both"/>
        <w:rPr>
          <w:rStyle w:val="Hipervnculo"/>
          <w:rFonts w:cstheme="minorHAnsi"/>
          <w:color w:val="auto"/>
          <w:u w:val="none"/>
          <w:bdr w:val="none" w:sz="0" w:space="0" w:color="auto" w:frame="1"/>
        </w:rPr>
      </w:pPr>
      <w:hyperlink r:id="rId15" w:history="1">
        <w:r w:rsidRPr="00306AE9">
          <w:rPr>
            <w:rStyle w:val="Hipervnculo"/>
            <w:rFonts w:cstheme="minorHAnsi"/>
            <w:color w:val="auto"/>
            <w:u w:val="none"/>
            <w:bdr w:val="none" w:sz="0" w:space="0" w:color="auto" w:frame="1"/>
          </w:rPr>
          <w:t>Echeverria NE, 1991. La avispa barrenador de pino, Sirex noctilio (Hymenoptera, Siricidae).</w:t>
        </w:r>
        <w:r w:rsidRPr="00306AE9">
          <w:rPr>
            <w:rStyle w:val="apple-converted-space"/>
            <w:rFonts w:cstheme="minorHAnsi"/>
            <w:bdr w:val="none" w:sz="0" w:space="0" w:color="auto" w:frame="1"/>
          </w:rPr>
          <w:t> </w:t>
        </w:r>
        <w:r w:rsidRPr="00DB347D">
          <w:rPr>
            <w:rStyle w:val="Hipervnculo"/>
            <w:rFonts w:cstheme="minorHAnsi"/>
            <w:color w:val="auto"/>
            <w:u w:val="none"/>
            <w:bdr w:val="none" w:sz="0" w:space="0" w:color="auto" w:frame="1"/>
          </w:rPr>
          <w:t>IFONA Reporter, No. 2: 22-23</w:t>
        </w:r>
      </w:hyperlink>
      <w:r>
        <w:rPr>
          <w:rStyle w:val="Hipervnculo"/>
          <w:rFonts w:cstheme="minorHAnsi"/>
          <w:color w:val="auto"/>
          <w:u w:val="none"/>
          <w:bdr w:val="none" w:sz="0" w:space="0" w:color="auto" w:frame="1"/>
        </w:rPr>
        <w:t>.</w:t>
      </w:r>
    </w:p>
    <w:p w:rsidR="00DB347D" w:rsidRDefault="00DB347D" w:rsidP="00863BB9">
      <w:pPr>
        <w:spacing w:before="200"/>
        <w:jc w:val="both"/>
        <w:rPr>
          <w:rFonts w:cstheme="minorHAnsi"/>
          <w:bdr w:val="none" w:sz="0" w:space="0" w:color="auto" w:frame="1"/>
        </w:rPr>
      </w:pPr>
      <w:r w:rsidRPr="00306AE9">
        <w:rPr>
          <w:rFonts w:cstheme="minorHAnsi"/>
          <w:bdr w:val="none" w:sz="0" w:space="0" w:color="auto" w:frame="1"/>
        </w:rPr>
        <w:t xml:space="preserve">Gilbert JM, Miller LW, 1952. Un brote de </w:t>
      </w:r>
      <w:r w:rsidRPr="00ED52C7">
        <w:rPr>
          <w:rFonts w:cstheme="minorHAnsi"/>
          <w:i/>
          <w:bdr w:val="none" w:sz="0" w:space="0" w:color="auto" w:frame="1"/>
        </w:rPr>
        <w:t>Sirex noctilio</w:t>
      </w:r>
      <w:r w:rsidRPr="00306AE9">
        <w:rPr>
          <w:rFonts w:cstheme="minorHAnsi"/>
          <w:bdr w:val="none" w:sz="0" w:space="0" w:color="auto" w:frame="1"/>
        </w:rPr>
        <w:t xml:space="preserve"> (F.) en Tasmania.</w:t>
      </w:r>
      <w:r w:rsidRPr="00306AE9">
        <w:rPr>
          <w:rStyle w:val="apple-converted-space"/>
          <w:rFonts w:cstheme="minorHAnsi"/>
          <w:bdr w:val="none" w:sz="0" w:space="0" w:color="auto" w:frame="1"/>
        </w:rPr>
        <w:t> </w:t>
      </w:r>
      <w:r w:rsidRPr="00306AE9">
        <w:rPr>
          <w:rFonts w:cstheme="minorHAnsi"/>
          <w:bdr w:val="none" w:sz="0" w:space="0" w:color="auto" w:frame="1"/>
        </w:rPr>
        <w:t>Australia Forestal, 16: 63-69</w:t>
      </w:r>
      <w:r>
        <w:rPr>
          <w:rFonts w:cstheme="minorHAnsi"/>
          <w:bdr w:val="none" w:sz="0" w:space="0" w:color="auto" w:frame="1"/>
        </w:rPr>
        <w:t>.</w:t>
      </w:r>
    </w:p>
    <w:p w:rsidR="00DB347D" w:rsidRPr="00DB347D" w:rsidRDefault="00DB347D" w:rsidP="00863BB9">
      <w:pPr>
        <w:spacing w:before="200"/>
        <w:jc w:val="both"/>
        <w:rPr>
          <w:rFonts w:ascii="Arial Rounded MT Bold" w:hAnsi="Arial Rounded MT Bold"/>
          <w:b/>
          <w:color w:val="0070C0"/>
          <w:sz w:val="24"/>
          <w:lang w:val="en-US"/>
        </w:rPr>
      </w:pPr>
      <w:r w:rsidRPr="002160E5">
        <w:rPr>
          <w:rFonts w:cstheme="minorHAnsi"/>
          <w:bdr w:val="none" w:sz="0" w:space="0" w:color="auto" w:frame="1"/>
        </w:rPr>
        <w:lastRenderedPageBreak/>
        <w:t>Haack RA, Cavey JF, 2000. Los</w:t>
      </w:r>
      <w:r w:rsidRPr="00306AE9">
        <w:rPr>
          <w:rFonts w:cstheme="minorHAnsi"/>
          <w:bdr w:val="none" w:sz="0" w:space="0" w:color="auto" w:frame="1"/>
        </w:rPr>
        <w:t xml:space="preserve"> insectos interceptados en materiales de embalaje de madera sólida en Estados Unidos los puertos de entrada: 1985-1998.</w:t>
      </w:r>
      <w:r w:rsidRPr="00306AE9">
        <w:rPr>
          <w:rStyle w:val="apple-converted-space"/>
          <w:rFonts w:cstheme="minorHAnsi"/>
          <w:bdr w:val="none" w:sz="0" w:space="0" w:color="auto" w:frame="1"/>
        </w:rPr>
        <w:t> </w:t>
      </w:r>
      <w:r w:rsidRPr="00306AE9">
        <w:rPr>
          <w:rFonts w:cstheme="minorHAnsi"/>
          <w:bdr w:val="none" w:sz="0" w:space="0" w:color="auto" w:frame="1"/>
        </w:rPr>
        <w:t>En: Silvotecna, eds.</w:t>
      </w:r>
      <w:r w:rsidRPr="00306AE9">
        <w:rPr>
          <w:rStyle w:val="apple-converted-space"/>
          <w:rFonts w:cstheme="minorHAnsi"/>
          <w:bdr w:val="none" w:sz="0" w:space="0" w:color="auto" w:frame="1"/>
        </w:rPr>
        <w:t> </w:t>
      </w:r>
      <w:r w:rsidRPr="00306AE9">
        <w:rPr>
          <w:rFonts w:cstheme="minorHAnsi"/>
          <w:bdr w:val="none" w:sz="0" w:space="0" w:color="auto" w:frame="1"/>
        </w:rPr>
        <w:t>Actas de la 14ª plagas de cuarentena Silvotecna, riesgos para el sector forestal y sus efectos en el comercio exterior.</w:t>
      </w:r>
      <w:r w:rsidRPr="00306AE9">
        <w:rPr>
          <w:rStyle w:val="apple-converted-space"/>
          <w:rFonts w:cstheme="minorHAnsi"/>
          <w:bdr w:val="none" w:sz="0" w:space="0" w:color="auto" w:frame="1"/>
        </w:rPr>
        <w:t> </w:t>
      </w:r>
      <w:r w:rsidRPr="00306AE9">
        <w:rPr>
          <w:rFonts w:cstheme="minorHAnsi"/>
          <w:bdr w:val="none" w:sz="0" w:space="0" w:color="auto" w:frame="1"/>
        </w:rPr>
        <w:t>Concepción, Chile: CORMA</w:t>
      </w:r>
      <w:r>
        <w:rPr>
          <w:rFonts w:cstheme="minorHAnsi"/>
          <w:bdr w:val="none" w:sz="0" w:space="0" w:color="auto" w:frame="1"/>
        </w:rPr>
        <w:t>.</w:t>
      </w:r>
    </w:p>
    <w:p w:rsidR="00ED52C7" w:rsidRPr="00306AE9" w:rsidRDefault="00ED52C7" w:rsidP="00863BB9">
      <w:pPr>
        <w:jc w:val="both"/>
        <w:rPr>
          <w:rFonts w:cstheme="minorHAnsi"/>
        </w:rPr>
      </w:pPr>
      <w:hyperlink r:id="rId16" w:history="1">
        <w:r w:rsidRPr="002160E5">
          <w:rPr>
            <w:rStyle w:val="Hipervnculo"/>
            <w:rFonts w:cstheme="minorHAnsi"/>
            <w:color w:val="auto"/>
            <w:u w:val="none"/>
            <w:bdr w:val="none" w:sz="0" w:space="0" w:color="auto" w:frame="1"/>
          </w:rPr>
          <w:t>Haugen DA, 1990. Los</w:t>
        </w:r>
        <w:r w:rsidRPr="00306AE9">
          <w:rPr>
            <w:rStyle w:val="Hipervnculo"/>
            <w:rFonts w:cstheme="minorHAnsi"/>
            <w:color w:val="auto"/>
            <w:u w:val="none"/>
            <w:bdr w:val="none" w:sz="0" w:space="0" w:color="auto" w:frame="1"/>
          </w:rPr>
          <w:t xml:space="preserve"> procedimientos de control de Sirex noctilio en el Triángulo Verde: revisión de la detección de brote severo (1977-1987).</w:t>
        </w:r>
        <w:r w:rsidRPr="00306AE9">
          <w:rPr>
            <w:rStyle w:val="apple-converted-space"/>
            <w:rFonts w:cstheme="minorHAnsi"/>
            <w:bdr w:val="none" w:sz="0" w:space="0" w:color="auto" w:frame="1"/>
          </w:rPr>
          <w:t> </w:t>
        </w:r>
        <w:r w:rsidRPr="00306AE9">
          <w:rPr>
            <w:rStyle w:val="Hipervnculo"/>
            <w:rFonts w:cstheme="minorHAnsi"/>
            <w:color w:val="auto"/>
            <w:u w:val="none"/>
            <w:bdr w:val="none" w:sz="0" w:space="0" w:color="auto" w:frame="1"/>
          </w:rPr>
          <w:t>Silvicultura de Australia, 53 (1): 24-32</w:t>
        </w:r>
      </w:hyperlink>
    </w:p>
    <w:p w:rsidR="00ED52C7" w:rsidRDefault="00ED52C7" w:rsidP="00863BB9">
      <w:pPr>
        <w:jc w:val="both"/>
        <w:rPr>
          <w:rFonts w:cstheme="minorHAnsi"/>
        </w:rPr>
      </w:pPr>
      <w:r w:rsidRPr="002160E5">
        <w:rPr>
          <w:rFonts w:cstheme="minorHAnsi"/>
          <w:bdr w:val="none" w:sz="0" w:space="0" w:color="auto" w:frame="1"/>
        </w:rPr>
        <w:t>Haugen DA, Iede ET, 2001.</w:t>
      </w:r>
      <w:r w:rsidRPr="00306AE9">
        <w:rPr>
          <w:rFonts w:cstheme="minorHAnsi"/>
          <w:bdr w:val="none" w:sz="0" w:space="0" w:color="auto" w:frame="1"/>
        </w:rPr>
        <w:t xml:space="preserve"> barrenadores de la madera.</w:t>
      </w:r>
      <w:r w:rsidRPr="00306AE9">
        <w:rPr>
          <w:rStyle w:val="apple-converted-space"/>
          <w:rFonts w:cstheme="minorHAnsi"/>
          <w:bdr w:val="none" w:sz="0" w:space="0" w:color="auto" w:frame="1"/>
        </w:rPr>
        <w:t> </w:t>
      </w:r>
      <w:r w:rsidRPr="00306AE9">
        <w:rPr>
          <w:rFonts w:cstheme="minorHAnsi"/>
          <w:bdr w:val="none" w:sz="0" w:space="0" w:color="auto" w:frame="1"/>
        </w:rPr>
        <w:t>Actas de la Sociedad Americana de Fitopatología, San Pablo, EE.UU.</w:t>
      </w:r>
      <w:r w:rsidRPr="00306AE9">
        <w:rPr>
          <w:rStyle w:val="apple-converted-space"/>
          <w:rFonts w:cstheme="minorHAnsi"/>
          <w:bdr w:val="none" w:sz="0" w:space="0" w:color="auto" w:frame="1"/>
        </w:rPr>
        <w:t> </w:t>
      </w:r>
      <w:hyperlink r:id="rId17" w:tgtFrame="_blank" w:history="1">
        <w:r w:rsidRPr="00306AE9">
          <w:rPr>
            <w:rStyle w:val="Hipervnculo"/>
            <w:rFonts w:cstheme="minorHAnsi"/>
            <w:color w:val="auto"/>
            <w:u w:val="none"/>
            <w:bdr w:val="none" w:sz="0" w:space="0" w:color="auto" w:frame="1"/>
          </w:rPr>
          <w:t>http://www.apsnet.org/online/exoticpest/Papers/haugen.htm.</w:t>
        </w:r>
      </w:hyperlink>
    </w:p>
    <w:p w:rsidR="00DB347D" w:rsidRDefault="00DB347D" w:rsidP="00863BB9">
      <w:pPr>
        <w:jc w:val="both"/>
        <w:rPr>
          <w:rFonts w:eastAsia="Times New Roman" w:cstheme="minorHAnsi"/>
          <w:lang w:eastAsia="es-MX"/>
        </w:rPr>
      </w:pPr>
      <w:r w:rsidRPr="00687C45">
        <w:rPr>
          <w:rFonts w:eastAsia="Times New Roman" w:cstheme="minorHAnsi"/>
          <w:lang w:eastAsia="es-MX"/>
        </w:rPr>
        <w:t>Hoebeke ER, Haugen DA, RA Haack.</w:t>
      </w:r>
      <w:r w:rsidRPr="002160E5">
        <w:rPr>
          <w:rFonts w:eastAsia="Times New Roman" w:cstheme="minorHAnsi"/>
          <w:lang w:eastAsia="es-MX"/>
        </w:rPr>
        <w:t> </w:t>
      </w:r>
      <w:r w:rsidRPr="00687C45">
        <w:rPr>
          <w:rFonts w:eastAsia="Times New Roman" w:cstheme="minorHAnsi"/>
          <w:lang w:eastAsia="es-MX"/>
        </w:rPr>
        <w:t>2005.</w:t>
      </w:r>
      <w:r w:rsidRPr="00306AE9">
        <w:rPr>
          <w:rFonts w:eastAsia="Times New Roman" w:cstheme="minorHAnsi"/>
          <w:lang w:eastAsia="es-MX"/>
        </w:rPr>
        <w:t> </w:t>
      </w:r>
      <w:r w:rsidRPr="00306AE9">
        <w:rPr>
          <w:rFonts w:eastAsia="Times New Roman" w:cstheme="minorHAnsi"/>
          <w:i/>
          <w:iCs/>
          <w:lang w:eastAsia="es-MX"/>
        </w:rPr>
        <w:t>Sirex noctilio</w:t>
      </w:r>
      <w:r w:rsidRPr="00687C45">
        <w:rPr>
          <w:rFonts w:eastAsia="Times New Roman" w:cstheme="minorHAnsi"/>
          <w:lang w:eastAsia="es-MX"/>
        </w:rPr>
        <w:t>: Descubrimiento de una avispa siricid Paleártico en Nueva York.</w:t>
      </w:r>
      <w:r w:rsidRPr="00306AE9">
        <w:rPr>
          <w:rFonts w:eastAsia="Times New Roman" w:cstheme="minorHAnsi"/>
          <w:lang w:eastAsia="es-MX"/>
        </w:rPr>
        <w:t> </w:t>
      </w:r>
      <w:r w:rsidRPr="00687C45">
        <w:rPr>
          <w:rFonts w:eastAsia="Times New Roman" w:cstheme="minorHAnsi"/>
          <w:lang w:eastAsia="es-MX"/>
        </w:rPr>
        <w:t>Boletín de la Sociedad Entomológica de Michigan 50: 24-25</w:t>
      </w:r>
      <w:r>
        <w:rPr>
          <w:rFonts w:eastAsia="Times New Roman" w:cstheme="minorHAnsi"/>
          <w:lang w:eastAsia="es-MX"/>
        </w:rPr>
        <w:t>.</w:t>
      </w:r>
    </w:p>
    <w:p w:rsidR="00DB347D" w:rsidRDefault="003978CE" w:rsidP="00863BB9">
      <w:pPr>
        <w:jc w:val="both"/>
        <w:rPr>
          <w:rFonts w:cstheme="minorHAnsi"/>
        </w:rPr>
      </w:pPr>
      <w:r w:rsidRPr="003978CE">
        <w:rPr>
          <w:rFonts w:cstheme="minorHAnsi"/>
        </w:rPr>
        <w:t>Kliejunas JT, Tkacz BM, Burdsall HHJr, Denitto GA, Eglitis A, Haugen DA, QUE Wallner, 2001. evaluación del riesgo de plagas de la importación en los Estados Unidos de troncos de eucalipto sin procesar y chips de América del Sur. Informe General Técnica - Laboratorio de Productos Forestales, USDA Forest Service, No. FPL-GTR-124: viii. Pp 134</w:t>
      </w:r>
      <w:r>
        <w:rPr>
          <w:rFonts w:cstheme="minorHAnsi"/>
        </w:rPr>
        <w:t>.</w:t>
      </w:r>
    </w:p>
    <w:p w:rsidR="003978CE" w:rsidRDefault="003978CE" w:rsidP="00863BB9">
      <w:pPr>
        <w:jc w:val="both"/>
        <w:rPr>
          <w:rFonts w:cstheme="minorHAnsi"/>
          <w:bdr w:val="none" w:sz="0" w:space="0" w:color="auto" w:frame="1"/>
        </w:rPr>
      </w:pPr>
      <w:r w:rsidRPr="00306AE9">
        <w:rPr>
          <w:rFonts w:cstheme="minorHAnsi"/>
          <w:bdr w:val="none" w:sz="0" w:space="0" w:color="auto" w:frame="1"/>
        </w:rPr>
        <w:t xml:space="preserve">Iede ET, Penteado SRC, Gaiad DCM, Silva SMS, 1993. Panorama un nfvel mundial da ocorrOncia de </w:t>
      </w:r>
      <w:r w:rsidRPr="00D81F4C">
        <w:rPr>
          <w:rFonts w:cstheme="minorHAnsi"/>
          <w:i/>
          <w:bdr w:val="none" w:sz="0" w:space="0" w:color="auto" w:frame="1"/>
        </w:rPr>
        <w:t xml:space="preserve">Sirex noctilio </w:t>
      </w:r>
      <w:r w:rsidRPr="00306AE9">
        <w:rPr>
          <w:rFonts w:cstheme="minorHAnsi"/>
          <w:bdr w:val="none" w:sz="0" w:space="0" w:color="auto" w:frame="1"/>
        </w:rPr>
        <w:t>F. (Hymenoptera: Siricidae). En: EMBRAPA, la FAO, USDA, FUNCEMA, eds.</w:t>
      </w:r>
      <w:r w:rsidRPr="00306AE9">
        <w:rPr>
          <w:rStyle w:val="apple-converted-space"/>
          <w:rFonts w:cstheme="minorHAnsi"/>
          <w:bdr w:val="none" w:sz="0" w:space="0" w:color="auto" w:frame="1"/>
        </w:rPr>
        <w:t> </w:t>
      </w:r>
      <w:r w:rsidRPr="00306AE9">
        <w:rPr>
          <w:rFonts w:cstheme="minorHAnsi"/>
          <w:bdr w:val="none" w:sz="0" w:space="0" w:color="auto" w:frame="1"/>
        </w:rPr>
        <w:t>Anais da ConferOncia regional da Vespa da Madeira Sirex Noctilio na AmTrica do Sul, Florian = polis, Brasil: EMBRAPA / FAO / USDA / FUNCEMA, 23-33</w:t>
      </w:r>
      <w:r>
        <w:rPr>
          <w:rFonts w:cstheme="minorHAnsi"/>
          <w:bdr w:val="none" w:sz="0" w:space="0" w:color="auto" w:frame="1"/>
        </w:rPr>
        <w:t>.</w:t>
      </w:r>
    </w:p>
    <w:p w:rsidR="003978CE" w:rsidRDefault="003978CE" w:rsidP="00863BB9">
      <w:pPr>
        <w:jc w:val="both"/>
        <w:rPr>
          <w:rFonts w:cstheme="minorHAnsi"/>
        </w:rPr>
      </w:pPr>
      <w:r w:rsidRPr="003978CE">
        <w:rPr>
          <w:rFonts w:cstheme="minorHAnsi"/>
          <w:lang w:val="en-US"/>
        </w:rPr>
        <w:t xml:space="preserve">IEDE ET, Schaitza E, S Penteado, Reardon RC, Murphy ST, 1998. </w:t>
      </w:r>
      <w:r w:rsidRPr="003978CE">
        <w:rPr>
          <w:rFonts w:cstheme="minorHAnsi"/>
        </w:rPr>
        <w:t>Actas de una conferencia: Formación en el control de Sirex noctilio por el uso de enemigos naturales, Colombo, Brasil, 4-9 de noviembre de 1996. Actas de una Conferencia: Formación en el control de Sirex noctilio romano por el uso de enemigos naturales, Colombo, Brasil, 4-9 de noviembre de 1996., viii;Pp 104</w:t>
      </w:r>
      <w:r>
        <w:rPr>
          <w:rFonts w:cstheme="minorHAnsi"/>
        </w:rPr>
        <w:t>.</w:t>
      </w:r>
    </w:p>
    <w:p w:rsidR="003978CE" w:rsidRDefault="003978CE" w:rsidP="00863BB9">
      <w:pPr>
        <w:jc w:val="both"/>
        <w:rPr>
          <w:rFonts w:cstheme="minorHAnsi"/>
          <w:bdr w:val="none" w:sz="0" w:space="0" w:color="auto" w:frame="1"/>
        </w:rPr>
      </w:pPr>
      <w:r w:rsidRPr="00306AE9">
        <w:rPr>
          <w:rFonts w:cstheme="minorHAnsi"/>
          <w:bdr w:val="none" w:sz="0" w:space="0" w:color="auto" w:frame="1"/>
        </w:rPr>
        <w:t>Iede ET, Klasmer P, Penteado SRC, 2000a</w:t>
      </w:r>
      <w:r w:rsidRPr="00D81F4C">
        <w:rPr>
          <w:rFonts w:cstheme="minorHAnsi"/>
          <w:i/>
          <w:bdr w:val="none" w:sz="0" w:space="0" w:color="auto" w:frame="1"/>
        </w:rPr>
        <w:t>.</w:t>
      </w:r>
      <w:r w:rsidRPr="00D81F4C">
        <w:rPr>
          <w:rStyle w:val="apple-converted-space"/>
          <w:rFonts w:cstheme="minorHAnsi"/>
          <w:i/>
          <w:bdr w:val="none" w:sz="0" w:space="0" w:color="auto" w:frame="1"/>
        </w:rPr>
        <w:t> </w:t>
      </w:r>
      <w:r w:rsidRPr="00D81F4C">
        <w:rPr>
          <w:rFonts w:cstheme="minorHAnsi"/>
          <w:i/>
          <w:bdr w:val="none" w:sz="0" w:space="0" w:color="auto" w:frame="1"/>
        </w:rPr>
        <w:t>Sirex noctilio</w:t>
      </w:r>
      <w:r w:rsidRPr="00306AE9">
        <w:rPr>
          <w:rFonts w:cstheme="minorHAnsi"/>
          <w:bdr w:val="none" w:sz="0" w:space="0" w:color="auto" w:frame="1"/>
        </w:rPr>
        <w:t xml:space="preserve"> en el sur de AmTrica: Distribución, Supervisión y Control.</w:t>
      </w:r>
      <w:r w:rsidRPr="00306AE9">
        <w:rPr>
          <w:rStyle w:val="apple-converted-space"/>
          <w:rFonts w:cstheme="minorHAnsi"/>
          <w:bdr w:val="none" w:sz="0" w:space="0" w:color="auto" w:frame="1"/>
        </w:rPr>
        <w:t> </w:t>
      </w:r>
      <w:r w:rsidRPr="00306AE9">
        <w:rPr>
          <w:rFonts w:cstheme="minorHAnsi"/>
          <w:bdr w:val="none" w:sz="0" w:space="0" w:color="auto" w:frame="1"/>
        </w:rPr>
        <w:t>En: Embrapa Soja, eds.</w:t>
      </w:r>
      <w:r w:rsidRPr="00306AE9">
        <w:rPr>
          <w:rStyle w:val="apple-converted-space"/>
          <w:rFonts w:cstheme="minorHAnsi"/>
          <w:bdr w:val="none" w:sz="0" w:space="0" w:color="auto" w:frame="1"/>
        </w:rPr>
        <w:t> </w:t>
      </w:r>
      <w:r w:rsidRPr="00306AE9">
        <w:rPr>
          <w:rFonts w:cstheme="minorHAnsi"/>
          <w:bdr w:val="none" w:sz="0" w:space="0" w:color="auto" w:frame="1"/>
        </w:rPr>
        <w:t>Actas del XXI Congreso Internacional de Entomología.</w:t>
      </w:r>
      <w:r w:rsidRPr="00306AE9">
        <w:rPr>
          <w:rStyle w:val="apple-converted-space"/>
          <w:rFonts w:cstheme="minorHAnsi"/>
          <w:bdr w:val="none" w:sz="0" w:space="0" w:color="auto" w:frame="1"/>
        </w:rPr>
        <w:t> </w:t>
      </w:r>
      <w:r w:rsidRPr="00306AE9">
        <w:rPr>
          <w:rFonts w:cstheme="minorHAnsi"/>
          <w:bdr w:val="none" w:sz="0" w:space="0" w:color="auto" w:frame="1"/>
        </w:rPr>
        <w:t>Foz do Iguatu, Brasil.</w:t>
      </w:r>
      <w:r w:rsidRPr="00306AE9">
        <w:rPr>
          <w:rStyle w:val="apple-converted-space"/>
          <w:rFonts w:cstheme="minorHAnsi"/>
          <w:bdr w:val="none" w:sz="0" w:space="0" w:color="auto" w:frame="1"/>
        </w:rPr>
        <w:t> </w:t>
      </w:r>
      <w:r w:rsidRPr="00306AE9">
        <w:rPr>
          <w:rFonts w:cstheme="minorHAnsi"/>
          <w:bdr w:val="none" w:sz="0" w:space="0" w:color="auto" w:frame="1"/>
        </w:rPr>
        <w:t>Embrapa Soja, 1: 474</w:t>
      </w:r>
      <w:r>
        <w:rPr>
          <w:rFonts w:cstheme="minorHAnsi"/>
          <w:bdr w:val="none" w:sz="0" w:space="0" w:color="auto" w:frame="1"/>
        </w:rPr>
        <w:t>.</w:t>
      </w:r>
    </w:p>
    <w:p w:rsidR="003978CE" w:rsidRDefault="003978CE" w:rsidP="00863BB9">
      <w:pPr>
        <w:jc w:val="both"/>
        <w:rPr>
          <w:rFonts w:cstheme="minorHAnsi"/>
          <w:bdr w:val="none" w:sz="0" w:space="0" w:color="auto" w:frame="1"/>
        </w:rPr>
      </w:pPr>
      <w:r w:rsidRPr="00306AE9">
        <w:rPr>
          <w:rFonts w:cstheme="minorHAnsi"/>
          <w:bdr w:val="none" w:sz="0" w:space="0" w:color="auto" w:frame="1"/>
        </w:rPr>
        <w:t>Madden JL, 1968. aspectos fisiológicos de la favorabilidad árbol huésped para la avispa Sirex noctilio F. Proc.</w:t>
      </w:r>
      <w:r w:rsidRPr="00306AE9">
        <w:rPr>
          <w:rStyle w:val="apple-converted-space"/>
          <w:rFonts w:cstheme="minorHAnsi"/>
          <w:bdr w:val="none" w:sz="0" w:space="0" w:color="auto" w:frame="1"/>
        </w:rPr>
        <w:t> </w:t>
      </w:r>
      <w:r w:rsidRPr="00306AE9">
        <w:rPr>
          <w:rFonts w:cstheme="minorHAnsi"/>
          <w:bdr w:val="none" w:sz="0" w:space="0" w:color="auto" w:frame="1"/>
        </w:rPr>
        <w:t>Ecol.</w:t>
      </w:r>
      <w:r w:rsidRPr="00306AE9">
        <w:rPr>
          <w:rStyle w:val="apple-converted-space"/>
          <w:rFonts w:cstheme="minorHAnsi"/>
          <w:bdr w:val="none" w:sz="0" w:space="0" w:color="auto" w:frame="1"/>
        </w:rPr>
        <w:t> </w:t>
      </w:r>
      <w:r w:rsidRPr="00306AE9">
        <w:rPr>
          <w:rFonts w:cstheme="minorHAnsi"/>
          <w:bdr w:val="none" w:sz="0" w:space="0" w:color="auto" w:frame="1"/>
        </w:rPr>
        <w:t>Soc.</w:t>
      </w:r>
      <w:r w:rsidRPr="00306AE9">
        <w:rPr>
          <w:rStyle w:val="apple-converted-space"/>
          <w:rFonts w:cstheme="minorHAnsi"/>
          <w:bdr w:val="none" w:sz="0" w:space="0" w:color="auto" w:frame="1"/>
        </w:rPr>
        <w:t> </w:t>
      </w:r>
      <w:r w:rsidRPr="00306AE9">
        <w:rPr>
          <w:rFonts w:cstheme="minorHAnsi"/>
          <w:bdr w:val="none" w:sz="0" w:space="0" w:color="auto" w:frame="1"/>
        </w:rPr>
        <w:t>Aust., 3: 147-149</w:t>
      </w:r>
      <w:r>
        <w:rPr>
          <w:rFonts w:cstheme="minorHAnsi"/>
          <w:bdr w:val="none" w:sz="0" w:space="0" w:color="auto" w:frame="1"/>
        </w:rPr>
        <w:t>.</w:t>
      </w:r>
    </w:p>
    <w:p w:rsidR="003978CE" w:rsidRPr="00863BB9" w:rsidRDefault="003978CE" w:rsidP="00863BB9">
      <w:pPr>
        <w:jc w:val="both"/>
        <w:rPr>
          <w:rFonts w:eastAsia="Times New Roman" w:cstheme="minorHAnsi"/>
          <w:i/>
          <w:lang w:eastAsia="es-MX"/>
        </w:rPr>
      </w:pPr>
      <w:hyperlink r:id="rId18" w:tgtFrame="_blank" w:history="1">
        <w:r w:rsidRPr="00306AE9">
          <w:rPr>
            <w:rFonts w:eastAsia="Times New Roman" w:cstheme="minorHAnsi"/>
            <w:lang w:eastAsia="es-MX"/>
          </w:rPr>
          <w:t>Madden, JL 1974. comportamientos de oviposición de la avispa </w:t>
        </w:r>
        <w:r w:rsidRPr="00306AE9">
          <w:rPr>
            <w:rFonts w:eastAsia="Times New Roman" w:cstheme="minorHAnsi"/>
            <w:i/>
            <w:iCs/>
            <w:lang w:eastAsia="es-MX"/>
          </w:rPr>
          <w:t>Sirex noctilio</w:t>
        </w:r>
        <w:r w:rsidRPr="00306AE9">
          <w:rPr>
            <w:rFonts w:eastAsia="Times New Roman" w:cstheme="minorHAnsi"/>
            <w:lang w:eastAsia="es-MX"/>
          </w:rPr>
          <w:t> F. Australian Journal of Zoology, Vol. 22: 341-351. </w:t>
        </w:r>
      </w:hyperlink>
      <w:r w:rsidRPr="00D81F4C">
        <w:rPr>
          <w:rFonts w:eastAsia="Times New Roman" w:cstheme="minorHAnsi"/>
          <w:bCs/>
          <w:lang w:eastAsia="es-MX"/>
        </w:rPr>
        <w:t>Resumen:</w:t>
      </w:r>
      <w:r w:rsidRPr="00306AE9">
        <w:rPr>
          <w:rFonts w:eastAsia="Times New Roman" w:cstheme="minorHAnsi"/>
          <w:lang w:eastAsia="es-MX"/>
        </w:rPr>
        <w:t> Este artículo de revista ofrece una descripción detallada sobre</w:t>
      </w:r>
      <w:r>
        <w:rPr>
          <w:rFonts w:eastAsia="Times New Roman" w:cstheme="minorHAnsi"/>
          <w:lang w:eastAsia="es-MX"/>
        </w:rPr>
        <w:t xml:space="preserve"> la oviposicion y la reproducción de </w:t>
      </w:r>
      <w:r w:rsidRPr="00D81F4C">
        <w:rPr>
          <w:rFonts w:eastAsia="Times New Roman" w:cstheme="minorHAnsi"/>
          <w:i/>
          <w:lang w:eastAsia="es-MX"/>
        </w:rPr>
        <w:t>Sirex noctilio</w:t>
      </w:r>
      <w:r w:rsidR="00863BB9">
        <w:rPr>
          <w:rFonts w:eastAsia="Times New Roman" w:cstheme="minorHAnsi"/>
          <w:i/>
          <w:lang w:eastAsia="es-MX"/>
        </w:rPr>
        <w:t>.</w:t>
      </w:r>
    </w:p>
    <w:p w:rsidR="003978CE" w:rsidRDefault="003978CE" w:rsidP="00863BB9">
      <w:pPr>
        <w:jc w:val="both"/>
        <w:rPr>
          <w:rFonts w:cstheme="minorHAnsi"/>
        </w:rPr>
      </w:pPr>
      <w:r>
        <w:rPr>
          <w:rFonts w:cstheme="minorHAnsi"/>
        </w:rPr>
        <w:t>Madd</w:t>
      </w:r>
      <w:r w:rsidRPr="003978CE">
        <w:rPr>
          <w:rFonts w:cstheme="minorHAnsi"/>
        </w:rPr>
        <w:t>en, JL 1981. Huevo y desarrollo de las larvas en la avispa, </w:t>
      </w:r>
      <w:r w:rsidRPr="003978CE">
        <w:rPr>
          <w:rFonts w:cstheme="minorHAnsi"/>
          <w:i/>
        </w:rPr>
        <w:t>Sirex noctilio</w:t>
      </w:r>
      <w:r w:rsidRPr="003978CE">
        <w:rPr>
          <w:rFonts w:cstheme="minorHAnsi"/>
        </w:rPr>
        <w:t> F. Australian Journal of Zoology, Vol. 29</w:t>
      </w:r>
      <w:r>
        <w:rPr>
          <w:rFonts w:cstheme="minorHAnsi"/>
        </w:rPr>
        <w:t xml:space="preserve">: </w:t>
      </w:r>
      <w:r w:rsidRPr="003978CE">
        <w:rPr>
          <w:rFonts w:cstheme="minorHAnsi"/>
        </w:rPr>
        <w:t>493-506.</w:t>
      </w:r>
      <w:r>
        <w:rPr>
          <w:rFonts w:cstheme="minorHAnsi"/>
        </w:rPr>
        <w:t xml:space="preserve"> Resumen: un artículo que describe a detalle el ciclo de la oviposicion y la vida de </w:t>
      </w:r>
      <w:r w:rsidRPr="003978CE">
        <w:rPr>
          <w:rFonts w:cstheme="minorHAnsi"/>
          <w:i/>
        </w:rPr>
        <w:t>Sirex noctilio</w:t>
      </w:r>
      <w:r>
        <w:rPr>
          <w:rFonts w:cstheme="minorHAnsi"/>
          <w:i/>
        </w:rPr>
        <w:t>.</w:t>
      </w:r>
      <w:r w:rsidRPr="003978CE">
        <w:rPr>
          <w:rFonts w:cstheme="minorHAnsi"/>
        </w:rPr>
        <w:t> </w:t>
      </w:r>
    </w:p>
    <w:p w:rsidR="003978CE" w:rsidRDefault="003978CE" w:rsidP="00863BB9">
      <w:pPr>
        <w:jc w:val="both"/>
        <w:rPr>
          <w:rFonts w:cstheme="minorHAnsi"/>
          <w:bdr w:val="none" w:sz="0" w:space="0" w:color="auto" w:frame="1"/>
        </w:rPr>
      </w:pPr>
      <w:r w:rsidRPr="00306AE9">
        <w:rPr>
          <w:rFonts w:cstheme="minorHAnsi"/>
          <w:bdr w:val="none" w:sz="0" w:space="0" w:color="auto" w:frame="1"/>
        </w:rPr>
        <w:t>Madden JL, 1988. Sirex en Australia.</w:t>
      </w:r>
      <w:r w:rsidRPr="00306AE9">
        <w:rPr>
          <w:rStyle w:val="apple-converted-space"/>
          <w:rFonts w:cstheme="minorHAnsi"/>
          <w:bdr w:val="none" w:sz="0" w:space="0" w:color="auto" w:frame="1"/>
        </w:rPr>
        <w:t> </w:t>
      </w:r>
      <w:r w:rsidRPr="00306AE9">
        <w:rPr>
          <w:rFonts w:cstheme="minorHAnsi"/>
          <w:bdr w:val="none" w:sz="0" w:space="0" w:color="auto" w:frame="1"/>
        </w:rPr>
        <w:t>En: Berryman AA, ed.</w:t>
      </w:r>
      <w:r w:rsidRPr="00306AE9">
        <w:rPr>
          <w:rStyle w:val="apple-converted-space"/>
          <w:rFonts w:cstheme="minorHAnsi"/>
          <w:bdr w:val="none" w:sz="0" w:space="0" w:color="auto" w:frame="1"/>
        </w:rPr>
        <w:t> </w:t>
      </w:r>
      <w:r w:rsidRPr="00306AE9">
        <w:rPr>
          <w:rFonts w:cstheme="minorHAnsi"/>
          <w:bdr w:val="none" w:sz="0" w:space="0" w:color="auto" w:frame="1"/>
        </w:rPr>
        <w:t>Dinámica de las poblaciones de insectos forestales.</w:t>
      </w:r>
      <w:r w:rsidRPr="00306AE9">
        <w:rPr>
          <w:rStyle w:val="apple-converted-space"/>
          <w:rFonts w:cstheme="minorHAnsi"/>
          <w:bdr w:val="none" w:sz="0" w:space="0" w:color="auto" w:frame="1"/>
        </w:rPr>
        <w:t> </w:t>
      </w:r>
      <w:r w:rsidRPr="00306AE9">
        <w:rPr>
          <w:rFonts w:cstheme="minorHAnsi"/>
          <w:bdr w:val="none" w:sz="0" w:space="0" w:color="auto" w:frame="1"/>
        </w:rPr>
        <w:t>Londres, Reino Unido: Plenum Pub.</w:t>
      </w:r>
      <w:r w:rsidRPr="00306AE9">
        <w:rPr>
          <w:rStyle w:val="apple-converted-space"/>
          <w:rFonts w:cstheme="minorHAnsi"/>
          <w:bdr w:val="none" w:sz="0" w:space="0" w:color="auto" w:frame="1"/>
        </w:rPr>
        <w:t> </w:t>
      </w:r>
      <w:r w:rsidRPr="00306AE9">
        <w:rPr>
          <w:rFonts w:cstheme="minorHAnsi"/>
          <w:bdr w:val="none" w:sz="0" w:space="0" w:color="auto" w:frame="1"/>
        </w:rPr>
        <w:t>Corp., 407-427</w:t>
      </w:r>
      <w:r>
        <w:rPr>
          <w:rFonts w:cstheme="minorHAnsi"/>
          <w:bdr w:val="none" w:sz="0" w:space="0" w:color="auto" w:frame="1"/>
        </w:rPr>
        <w:t>.</w:t>
      </w:r>
    </w:p>
    <w:p w:rsidR="003978CE" w:rsidRDefault="003978CE" w:rsidP="00863BB9">
      <w:pPr>
        <w:jc w:val="both"/>
        <w:rPr>
          <w:rFonts w:cstheme="minorHAnsi"/>
        </w:rPr>
      </w:pPr>
      <w:r w:rsidRPr="00306AE9">
        <w:rPr>
          <w:rFonts w:cstheme="minorHAnsi"/>
          <w:bdr w:val="none" w:sz="0" w:space="0" w:color="auto" w:frame="1"/>
        </w:rPr>
        <w:lastRenderedPageBreak/>
        <w:t xml:space="preserve">Morgan FD, Stewart Carolina del Norte, 1966. La biología de la avispa </w:t>
      </w:r>
      <w:r w:rsidRPr="003978CE">
        <w:rPr>
          <w:rFonts w:cstheme="minorHAnsi"/>
          <w:i/>
          <w:bdr w:val="none" w:sz="0" w:space="0" w:color="auto" w:frame="1"/>
        </w:rPr>
        <w:t>Sirex noctilio</w:t>
      </w:r>
      <w:r w:rsidRPr="00306AE9">
        <w:rPr>
          <w:rFonts w:cstheme="minorHAnsi"/>
          <w:bdr w:val="none" w:sz="0" w:space="0" w:color="auto" w:frame="1"/>
        </w:rPr>
        <w:t xml:space="preserve"> (F) en Nueva Zelanda.</w:t>
      </w:r>
      <w:r w:rsidRPr="00306AE9">
        <w:rPr>
          <w:rStyle w:val="apple-converted-space"/>
          <w:rFonts w:cstheme="minorHAnsi"/>
          <w:bdr w:val="none" w:sz="0" w:space="0" w:color="auto" w:frame="1"/>
        </w:rPr>
        <w:t> </w:t>
      </w:r>
      <w:r w:rsidRPr="00306AE9">
        <w:rPr>
          <w:rFonts w:cstheme="minorHAnsi"/>
          <w:bdr w:val="none" w:sz="0" w:space="0" w:color="auto" w:frame="1"/>
        </w:rPr>
        <w:t>Transacciones de la Royal Society de Nueva Zelanda, 7: 195-204</w:t>
      </w:r>
    </w:p>
    <w:p w:rsidR="003978CE" w:rsidRDefault="003978CE" w:rsidP="00863BB9">
      <w:pPr>
        <w:jc w:val="both"/>
        <w:rPr>
          <w:rFonts w:cstheme="minorHAnsi"/>
        </w:rPr>
      </w:pPr>
      <w:bookmarkStart w:id="9" w:name="_Hlk484693732"/>
      <w:r w:rsidRPr="003978CE">
        <w:rPr>
          <w:rFonts w:cstheme="minorHAnsi"/>
        </w:rPr>
        <w:t>Neumann FG, Morey JL, McKimm RJ, 1987. La avispa Sirex en Victoria. Boletín - Departamento de Conservación, Bosques y Tierras, Victoria, Nº 29:41 pp</w:t>
      </w:r>
      <w:r>
        <w:rPr>
          <w:rFonts w:cstheme="minorHAnsi"/>
        </w:rPr>
        <w:t>.</w:t>
      </w:r>
    </w:p>
    <w:bookmarkEnd w:id="9"/>
    <w:p w:rsidR="003978CE" w:rsidRPr="003978CE" w:rsidRDefault="003978CE" w:rsidP="00863BB9">
      <w:pPr>
        <w:jc w:val="both"/>
        <w:rPr>
          <w:rFonts w:cstheme="minorHAnsi"/>
        </w:rPr>
      </w:pPr>
      <w:r>
        <w:rPr>
          <w:rFonts w:cstheme="minorHAnsi"/>
        </w:rPr>
        <w:t xml:space="preserve">NYSDEC. 2007. Informe del estado avispa Sirex. Departamento de Estado de Nueva York de Conservacion. Resumen: Informe de actualización de las estatus y presencia de </w:t>
      </w:r>
      <w:r w:rsidRPr="003978CE">
        <w:rPr>
          <w:rFonts w:cstheme="minorHAnsi"/>
          <w:i/>
          <w:bdr w:val="none" w:sz="0" w:space="0" w:color="auto" w:frame="1"/>
        </w:rPr>
        <w:t>Sirex noctilio</w:t>
      </w:r>
      <w:r>
        <w:rPr>
          <w:rFonts w:cstheme="minorHAnsi"/>
          <w:i/>
          <w:bdr w:val="none" w:sz="0" w:space="0" w:color="auto" w:frame="1"/>
        </w:rPr>
        <w:t xml:space="preserve"> </w:t>
      </w:r>
      <w:r>
        <w:rPr>
          <w:rFonts w:cstheme="minorHAnsi"/>
          <w:bdr w:val="none" w:sz="0" w:space="0" w:color="auto" w:frame="1"/>
        </w:rPr>
        <w:t xml:space="preserve">en el </w:t>
      </w:r>
      <w:r>
        <w:rPr>
          <w:rFonts w:cstheme="minorHAnsi"/>
        </w:rPr>
        <w:t>Estado de Nueva York</w:t>
      </w:r>
      <w:r>
        <w:rPr>
          <w:rFonts w:cstheme="minorHAnsi"/>
        </w:rPr>
        <w:t xml:space="preserve">. </w:t>
      </w:r>
    </w:p>
    <w:p w:rsidR="004965BE" w:rsidRPr="00306AE9" w:rsidRDefault="004965BE" w:rsidP="00863BB9">
      <w:pPr>
        <w:jc w:val="both"/>
        <w:rPr>
          <w:rFonts w:cstheme="minorHAnsi"/>
          <w:bdr w:val="none" w:sz="0" w:space="0" w:color="auto" w:frame="1"/>
        </w:rPr>
      </w:pPr>
      <w:r w:rsidRPr="00306AE9">
        <w:rPr>
          <w:rFonts w:cstheme="minorHAnsi"/>
          <w:bdr w:val="none" w:sz="0" w:space="0" w:color="auto" w:frame="1"/>
        </w:rPr>
        <w:t>Rawlings GB, Wilson NM, 1949. Sirex noctilio como insectos beneficiosos y destructivos para Pinus radiata en Nueva Zelanda.</w:t>
      </w:r>
      <w:r w:rsidRPr="00306AE9">
        <w:rPr>
          <w:rStyle w:val="apple-converted-space"/>
          <w:rFonts w:cstheme="minorHAnsi"/>
          <w:bdr w:val="none" w:sz="0" w:space="0" w:color="auto" w:frame="1"/>
        </w:rPr>
        <w:t> </w:t>
      </w:r>
      <w:r w:rsidRPr="00306AE9">
        <w:rPr>
          <w:rFonts w:cstheme="minorHAnsi"/>
          <w:bdr w:val="none" w:sz="0" w:space="0" w:color="auto" w:frame="1"/>
        </w:rPr>
        <w:t>Nueva Zelanda Diario de Ciencias Forestales, 6: 20-29.</w:t>
      </w:r>
    </w:p>
    <w:p w:rsidR="004965BE" w:rsidRPr="00306AE9" w:rsidRDefault="004965BE" w:rsidP="00863BB9">
      <w:pPr>
        <w:jc w:val="both"/>
        <w:rPr>
          <w:rFonts w:cstheme="minorHAnsi"/>
          <w:bdr w:val="none" w:sz="0" w:space="0" w:color="auto" w:frame="1"/>
        </w:rPr>
      </w:pPr>
      <w:r w:rsidRPr="00306AE9">
        <w:rPr>
          <w:rFonts w:cstheme="minorHAnsi"/>
          <w:bdr w:val="none" w:sz="0" w:space="0" w:color="auto" w:frame="1"/>
        </w:rPr>
        <w:t>Rebuffo S, 1990. La "Avispa de la Madera" Sirex noctilio F. en el Uruguay.</w:t>
      </w:r>
      <w:r w:rsidRPr="00306AE9">
        <w:rPr>
          <w:rStyle w:val="apple-converted-space"/>
          <w:rFonts w:cstheme="minorHAnsi"/>
          <w:bdr w:val="none" w:sz="0" w:space="0" w:color="auto" w:frame="1"/>
        </w:rPr>
        <w:t> </w:t>
      </w:r>
      <w:r w:rsidRPr="00306AE9">
        <w:rPr>
          <w:rFonts w:cstheme="minorHAnsi"/>
          <w:bdr w:val="none" w:sz="0" w:space="0" w:color="auto" w:frame="1"/>
        </w:rPr>
        <w:t>Montevideo: Dir.</w:t>
      </w:r>
      <w:r w:rsidRPr="00306AE9">
        <w:rPr>
          <w:rStyle w:val="apple-converted-space"/>
          <w:rFonts w:cstheme="minorHAnsi"/>
          <w:bdr w:val="none" w:sz="0" w:space="0" w:color="auto" w:frame="1"/>
        </w:rPr>
        <w:t> </w:t>
      </w:r>
      <w:r w:rsidRPr="00306AE9">
        <w:rPr>
          <w:rFonts w:cstheme="minorHAnsi"/>
          <w:bdr w:val="none" w:sz="0" w:space="0" w:color="auto" w:frame="1"/>
        </w:rPr>
        <w:t>Por., 1-17.</w:t>
      </w:r>
    </w:p>
    <w:p w:rsidR="004965BE" w:rsidRDefault="004965BE" w:rsidP="00863BB9">
      <w:pPr>
        <w:jc w:val="both"/>
        <w:rPr>
          <w:rFonts w:cstheme="minorHAnsi"/>
          <w:bdr w:val="none" w:sz="0" w:space="0" w:color="auto" w:frame="1"/>
        </w:rPr>
      </w:pPr>
      <w:r w:rsidRPr="00306AE9">
        <w:rPr>
          <w:rFonts w:cstheme="minorHAnsi"/>
          <w:bdr w:val="none" w:sz="0" w:space="0" w:color="auto" w:frame="1"/>
        </w:rPr>
        <w:t>Smith DR, 1978. Hymenopterorum Catalogus - Suborden Symphita (xyelidae, Pararchexyelidae, Parapamphiliidae, Xyelydidae, Karatavitidae, Gigasiridae, Sepulcidae, Pseudosiricidae, Anaxyelidae, Siricidae, Xiphydriidae, Paroryssidae, Xyelotomidae, Blasticotomidae, Pergidae).</w:t>
      </w:r>
      <w:r w:rsidRPr="00306AE9">
        <w:rPr>
          <w:rStyle w:val="apple-converted-space"/>
          <w:rFonts w:cstheme="minorHAnsi"/>
          <w:bdr w:val="none" w:sz="0" w:space="0" w:color="auto" w:frame="1"/>
        </w:rPr>
        <w:t> </w:t>
      </w:r>
      <w:r w:rsidRPr="00306AE9">
        <w:rPr>
          <w:rFonts w:cstheme="minorHAnsi"/>
          <w:bdr w:val="none" w:sz="0" w:space="0" w:color="auto" w:frame="1"/>
        </w:rPr>
        <w:t>En: van der Vecht J, Shenefelt RD, eds.</w:t>
      </w:r>
      <w:r w:rsidRPr="00306AE9">
        <w:rPr>
          <w:rStyle w:val="apple-converted-space"/>
          <w:rFonts w:cstheme="minorHAnsi"/>
          <w:bdr w:val="none" w:sz="0" w:space="0" w:color="auto" w:frame="1"/>
        </w:rPr>
        <w:t> </w:t>
      </w:r>
      <w:r w:rsidRPr="00306AE9">
        <w:rPr>
          <w:rFonts w:cstheme="minorHAnsi"/>
          <w:bdr w:val="none" w:sz="0" w:space="0" w:color="auto" w:frame="1"/>
        </w:rPr>
        <w:t>Hymenopterorum Catalogus, pars 14. Holanda: Desperdicios W. BV, 59-63.</w:t>
      </w:r>
    </w:p>
    <w:p w:rsidR="003978CE" w:rsidRDefault="003978CE" w:rsidP="00863BB9">
      <w:pPr>
        <w:jc w:val="both"/>
        <w:rPr>
          <w:rFonts w:cstheme="minorHAnsi"/>
          <w:bdr w:val="none" w:sz="0" w:space="0" w:color="auto" w:frame="1"/>
        </w:rPr>
      </w:pPr>
      <w:r w:rsidRPr="00306AE9">
        <w:rPr>
          <w:rFonts w:cstheme="minorHAnsi"/>
          <w:bdr w:val="none" w:sz="0" w:space="0" w:color="auto" w:frame="1"/>
        </w:rPr>
        <w:t>Taylor KL, 1981. La avispa Sirex: ecología y control de un insecto introducido bosque.</w:t>
      </w:r>
      <w:r w:rsidRPr="00306AE9">
        <w:rPr>
          <w:rStyle w:val="apple-converted-space"/>
          <w:rFonts w:cstheme="minorHAnsi"/>
          <w:bdr w:val="none" w:sz="0" w:space="0" w:color="auto" w:frame="1"/>
        </w:rPr>
        <w:t> </w:t>
      </w:r>
      <w:r w:rsidRPr="00306AE9">
        <w:rPr>
          <w:rFonts w:cstheme="minorHAnsi"/>
          <w:bdr w:val="none" w:sz="0" w:space="0" w:color="auto" w:frame="1"/>
        </w:rPr>
        <w:t>En: Kitching RL, Jones RE, eds.</w:t>
      </w:r>
      <w:r w:rsidRPr="00306AE9">
        <w:rPr>
          <w:rStyle w:val="apple-converted-space"/>
          <w:rFonts w:cstheme="minorHAnsi"/>
          <w:bdr w:val="none" w:sz="0" w:space="0" w:color="auto" w:frame="1"/>
        </w:rPr>
        <w:t> </w:t>
      </w:r>
      <w:r w:rsidRPr="00306AE9">
        <w:rPr>
          <w:rFonts w:cstheme="minorHAnsi"/>
          <w:bdr w:val="none" w:sz="0" w:space="0" w:color="auto" w:frame="1"/>
        </w:rPr>
        <w:t>La ecología de las plagas: algunas historias de casos de Australia.</w:t>
      </w:r>
      <w:r w:rsidRPr="00306AE9">
        <w:rPr>
          <w:rStyle w:val="apple-converted-space"/>
          <w:rFonts w:cstheme="minorHAnsi"/>
          <w:bdr w:val="none" w:sz="0" w:space="0" w:color="auto" w:frame="1"/>
        </w:rPr>
        <w:t> </w:t>
      </w:r>
      <w:r w:rsidRPr="00306AE9">
        <w:rPr>
          <w:rFonts w:cstheme="minorHAnsi"/>
          <w:bdr w:val="none" w:sz="0" w:space="0" w:color="auto" w:frame="1"/>
        </w:rPr>
        <w:t>Australia: CSIRO, 231-248</w:t>
      </w:r>
      <w:r>
        <w:rPr>
          <w:rFonts w:cstheme="minorHAnsi"/>
          <w:bdr w:val="none" w:sz="0" w:space="0" w:color="auto" w:frame="1"/>
        </w:rPr>
        <w:t>.</w:t>
      </w:r>
    </w:p>
    <w:p w:rsidR="003978CE" w:rsidRDefault="003978CE" w:rsidP="00863BB9">
      <w:pPr>
        <w:jc w:val="both"/>
        <w:rPr>
          <w:rStyle w:val="Hipervnculo"/>
          <w:rFonts w:cstheme="minorHAnsi"/>
          <w:color w:val="auto"/>
          <w:u w:val="none"/>
          <w:bdr w:val="none" w:sz="0" w:space="0" w:color="auto" w:frame="1"/>
        </w:rPr>
      </w:pPr>
      <w:hyperlink r:id="rId19" w:history="1">
        <w:r w:rsidRPr="00306AE9">
          <w:rPr>
            <w:rStyle w:val="Hipervnculo"/>
            <w:rFonts w:cstheme="minorHAnsi"/>
            <w:color w:val="auto"/>
            <w:u w:val="none"/>
            <w:bdr w:val="none" w:sz="0" w:space="0" w:color="auto" w:frame="1"/>
            <w:lang w:val="en-US"/>
          </w:rPr>
          <w:t xml:space="preserve">Tribe GD, 1995. The woodwasp Sirex noctilio Fabricius (Hymenoptera: Siricidae), a pest of Pinus species, now established in South Africa. </w:t>
        </w:r>
        <w:r w:rsidRPr="004965BE">
          <w:rPr>
            <w:rStyle w:val="Hipervnculo"/>
            <w:rFonts w:cstheme="minorHAnsi"/>
            <w:color w:val="auto"/>
            <w:u w:val="none"/>
            <w:bdr w:val="none" w:sz="0" w:space="0" w:color="auto" w:frame="1"/>
          </w:rPr>
          <w:t>African Entomology, 3(2):215-217</w:t>
        </w:r>
      </w:hyperlink>
      <w:r>
        <w:rPr>
          <w:rStyle w:val="Hipervnculo"/>
          <w:rFonts w:cstheme="minorHAnsi"/>
          <w:color w:val="auto"/>
          <w:u w:val="none"/>
          <w:bdr w:val="none" w:sz="0" w:space="0" w:color="auto" w:frame="1"/>
        </w:rPr>
        <w:t>.</w:t>
      </w:r>
    </w:p>
    <w:p w:rsidR="003978CE" w:rsidRDefault="003978CE" w:rsidP="00863BB9">
      <w:pPr>
        <w:jc w:val="both"/>
        <w:rPr>
          <w:rFonts w:cstheme="minorHAnsi"/>
          <w:bdr w:val="none" w:sz="0" w:space="0" w:color="auto" w:frame="1"/>
        </w:rPr>
      </w:pPr>
      <w:r w:rsidRPr="00306AE9">
        <w:rPr>
          <w:rFonts w:cstheme="minorHAnsi"/>
          <w:bdr w:val="none" w:sz="0" w:space="0" w:color="auto" w:frame="1"/>
        </w:rPr>
        <w:t>Zondag R, 1959. Informe de situación sobre el establecimiento en Nueva Zelanda de Ibalia leucospoides un parásito de Sirex noctilio.</w:t>
      </w:r>
      <w:r w:rsidRPr="00306AE9">
        <w:rPr>
          <w:rStyle w:val="apple-converted-space"/>
          <w:rFonts w:cstheme="minorHAnsi"/>
          <w:bdr w:val="none" w:sz="0" w:space="0" w:color="auto" w:frame="1"/>
        </w:rPr>
        <w:t> </w:t>
      </w:r>
      <w:r w:rsidRPr="00306AE9">
        <w:rPr>
          <w:rFonts w:cstheme="minorHAnsi"/>
          <w:bdr w:val="none" w:sz="0" w:space="0" w:color="auto" w:frame="1"/>
        </w:rPr>
        <w:t>Nueva Zelanda Investigación Forestal Notas, 20: 1-10</w:t>
      </w:r>
      <w:r>
        <w:rPr>
          <w:rFonts w:cstheme="minorHAnsi"/>
          <w:bdr w:val="none" w:sz="0" w:space="0" w:color="auto" w:frame="1"/>
        </w:rPr>
        <w:t>.</w:t>
      </w:r>
    </w:p>
    <w:p w:rsidR="00331352" w:rsidRPr="005E665E" w:rsidRDefault="003978CE" w:rsidP="00863BB9">
      <w:pPr>
        <w:jc w:val="both"/>
        <w:rPr>
          <w:rFonts w:cstheme="minorHAnsi"/>
          <w:bdr w:val="none" w:sz="0" w:space="0" w:color="auto" w:frame="1"/>
        </w:rPr>
      </w:pPr>
      <w:r w:rsidRPr="00306AE9">
        <w:rPr>
          <w:rFonts w:cstheme="minorHAnsi"/>
          <w:bdr w:val="none" w:sz="0" w:space="0" w:color="auto" w:frame="1"/>
        </w:rPr>
        <w:t>Zondag R, Nuttal MJ, 1977. Sirex noctilio Fabricius (Hymenoptera: Siricidae).</w:t>
      </w:r>
      <w:r w:rsidRPr="00306AE9">
        <w:rPr>
          <w:rStyle w:val="apple-converted-space"/>
          <w:rFonts w:cstheme="minorHAnsi"/>
          <w:bdr w:val="none" w:sz="0" w:space="0" w:color="auto" w:frame="1"/>
        </w:rPr>
        <w:t> </w:t>
      </w:r>
      <w:r w:rsidRPr="00306AE9">
        <w:rPr>
          <w:rFonts w:cstheme="minorHAnsi"/>
          <w:bdr w:val="none" w:sz="0" w:space="0" w:color="auto" w:frame="1"/>
        </w:rPr>
        <w:t>Vie, NZ Para.</w:t>
      </w:r>
      <w:r w:rsidRPr="00306AE9">
        <w:rPr>
          <w:rStyle w:val="apple-converted-space"/>
          <w:rFonts w:cstheme="minorHAnsi"/>
          <w:bdr w:val="none" w:sz="0" w:space="0" w:color="auto" w:frame="1"/>
        </w:rPr>
        <w:t> </w:t>
      </w:r>
      <w:r w:rsidRPr="00306AE9">
        <w:rPr>
          <w:rFonts w:cstheme="minorHAnsi"/>
          <w:bdr w:val="none" w:sz="0" w:space="0" w:color="auto" w:frame="1"/>
        </w:rPr>
        <w:t>Serv, forestal y maderera Insectos en Nueva Zelanda., 20: 1-7</w:t>
      </w:r>
      <w:r w:rsidR="005E665E">
        <w:rPr>
          <w:rFonts w:cstheme="minorHAnsi"/>
          <w:bdr w:val="none" w:sz="0" w:space="0" w:color="auto" w:frame="1"/>
        </w:rPr>
        <w:t>.</w:t>
      </w:r>
    </w:p>
    <w:p w:rsidR="00196582" w:rsidRDefault="00196582" w:rsidP="002A508D">
      <w:pPr>
        <w:jc w:val="both"/>
      </w:pPr>
    </w:p>
    <w:sectPr w:rsidR="00196582" w:rsidSect="007F56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673296"/>
    <w:multiLevelType w:val="hybridMultilevel"/>
    <w:tmpl w:val="A22AC7E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BB300D8"/>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193324"/>
    <w:multiLevelType w:val="hybridMultilevel"/>
    <w:tmpl w:val="66D2E8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6"/>
  </w:num>
  <w:num w:numId="4">
    <w:abstractNumId w:val="4"/>
  </w:num>
  <w:num w:numId="5">
    <w:abstractNumId w:val="8"/>
  </w:num>
  <w:num w:numId="6">
    <w:abstractNumId w:val="7"/>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267"/>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2C5"/>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623E"/>
    <w:rsid w:val="00136C9D"/>
    <w:rsid w:val="0013700A"/>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385"/>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0AB2"/>
    <w:rsid w:val="00182E63"/>
    <w:rsid w:val="00184357"/>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C68"/>
    <w:rsid w:val="001D735A"/>
    <w:rsid w:val="001D77A4"/>
    <w:rsid w:val="001D7B31"/>
    <w:rsid w:val="001E1E50"/>
    <w:rsid w:val="001E211E"/>
    <w:rsid w:val="001E2767"/>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3A4"/>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045"/>
    <w:rsid w:val="003271D5"/>
    <w:rsid w:val="00331352"/>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CC6"/>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8CE"/>
    <w:rsid w:val="00397F23"/>
    <w:rsid w:val="003A0090"/>
    <w:rsid w:val="003A05A5"/>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19CE"/>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965BE"/>
    <w:rsid w:val="004A1727"/>
    <w:rsid w:val="004A186C"/>
    <w:rsid w:val="004A1A03"/>
    <w:rsid w:val="004A2CF4"/>
    <w:rsid w:val="004A2F5C"/>
    <w:rsid w:val="004A355B"/>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5FE"/>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0448"/>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65E"/>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81"/>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5329"/>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FB0"/>
    <w:rsid w:val="00641A60"/>
    <w:rsid w:val="0064240A"/>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0936"/>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3A49"/>
    <w:rsid w:val="007341B8"/>
    <w:rsid w:val="007347FC"/>
    <w:rsid w:val="00734CB3"/>
    <w:rsid w:val="00735079"/>
    <w:rsid w:val="00736E1A"/>
    <w:rsid w:val="00737189"/>
    <w:rsid w:val="00737197"/>
    <w:rsid w:val="00737453"/>
    <w:rsid w:val="007379F1"/>
    <w:rsid w:val="0074016A"/>
    <w:rsid w:val="00740405"/>
    <w:rsid w:val="007404EA"/>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7F5681"/>
    <w:rsid w:val="00800692"/>
    <w:rsid w:val="00800C22"/>
    <w:rsid w:val="008016CE"/>
    <w:rsid w:val="0080185B"/>
    <w:rsid w:val="00801BDF"/>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3BB9"/>
    <w:rsid w:val="00865495"/>
    <w:rsid w:val="00866131"/>
    <w:rsid w:val="00866A13"/>
    <w:rsid w:val="00867558"/>
    <w:rsid w:val="00867ADA"/>
    <w:rsid w:val="00870B44"/>
    <w:rsid w:val="008739B9"/>
    <w:rsid w:val="00873B1A"/>
    <w:rsid w:val="008742F8"/>
    <w:rsid w:val="00875CC9"/>
    <w:rsid w:val="0087652F"/>
    <w:rsid w:val="008765C4"/>
    <w:rsid w:val="00876D16"/>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852"/>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3D63"/>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6F32"/>
    <w:rsid w:val="009E7559"/>
    <w:rsid w:val="009F092B"/>
    <w:rsid w:val="009F189B"/>
    <w:rsid w:val="009F376B"/>
    <w:rsid w:val="009F40D2"/>
    <w:rsid w:val="009F4604"/>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938"/>
    <w:rsid w:val="00A31A50"/>
    <w:rsid w:val="00A3277F"/>
    <w:rsid w:val="00A336C7"/>
    <w:rsid w:val="00A3486E"/>
    <w:rsid w:val="00A34913"/>
    <w:rsid w:val="00A34F9C"/>
    <w:rsid w:val="00A371B0"/>
    <w:rsid w:val="00A3779F"/>
    <w:rsid w:val="00A37CDC"/>
    <w:rsid w:val="00A403CD"/>
    <w:rsid w:val="00A40FE0"/>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8765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604A"/>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0AD7"/>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56B45"/>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A1370"/>
    <w:rsid w:val="00BA28D8"/>
    <w:rsid w:val="00BA2CA3"/>
    <w:rsid w:val="00BA2E5B"/>
    <w:rsid w:val="00BA34C5"/>
    <w:rsid w:val="00BA3A0B"/>
    <w:rsid w:val="00BA5250"/>
    <w:rsid w:val="00BA58D4"/>
    <w:rsid w:val="00BA6D74"/>
    <w:rsid w:val="00BB16DD"/>
    <w:rsid w:val="00BB40E1"/>
    <w:rsid w:val="00BB4A9C"/>
    <w:rsid w:val="00BB636F"/>
    <w:rsid w:val="00BB6463"/>
    <w:rsid w:val="00BB655C"/>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3FBE"/>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3F4C"/>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70A"/>
    <w:rsid w:val="00CB4BCC"/>
    <w:rsid w:val="00CB546C"/>
    <w:rsid w:val="00CB5E85"/>
    <w:rsid w:val="00CB767B"/>
    <w:rsid w:val="00CB775C"/>
    <w:rsid w:val="00CB7D96"/>
    <w:rsid w:val="00CC0319"/>
    <w:rsid w:val="00CC2932"/>
    <w:rsid w:val="00CC4208"/>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55F"/>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1FD2"/>
    <w:rsid w:val="00D7299D"/>
    <w:rsid w:val="00D7604B"/>
    <w:rsid w:val="00D778E5"/>
    <w:rsid w:val="00D81F4C"/>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358"/>
    <w:rsid w:val="00DB188B"/>
    <w:rsid w:val="00DB2397"/>
    <w:rsid w:val="00DB3243"/>
    <w:rsid w:val="00DB347D"/>
    <w:rsid w:val="00DB47FE"/>
    <w:rsid w:val="00DB55BF"/>
    <w:rsid w:val="00DB5DD9"/>
    <w:rsid w:val="00DB6641"/>
    <w:rsid w:val="00DC1509"/>
    <w:rsid w:val="00DC26B2"/>
    <w:rsid w:val="00DC28F5"/>
    <w:rsid w:val="00DC445A"/>
    <w:rsid w:val="00DC4711"/>
    <w:rsid w:val="00DC4D5D"/>
    <w:rsid w:val="00DC5B04"/>
    <w:rsid w:val="00DD0BE6"/>
    <w:rsid w:val="00DD0C7C"/>
    <w:rsid w:val="00DD11A2"/>
    <w:rsid w:val="00DD1E3F"/>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2C7"/>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5E0"/>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1BDC"/>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o:shapedefaults>
    <o:shapelayout v:ext="edit">
      <o:idmap v:ext="edit" data="1"/>
    </o:shapelayout>
  </w:shapeDefaults>
  <w:decimalSymbol w:val="."/>
  <w:listSeparator w:val=";"/>
  <w14:docId w14:val="5471A176"/>
  <w15:docId w15:val="{F8BC5FB4-89D7-4AA1-9A34-222760F8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F5681"/>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Mencionar">
    <w:name w:val="Mention"/>
    <w:basedOn w:val="Fuentedeprrafopredeter"/>
    <w:uiPriority w:val="99"/>
    <w:semiHidden/>
    <w:unhideWhenUsed/>
    <w:rsid w:val="00720936"/>
    <w:rPr>
      <w:color w:val="2B579A"/>
      <w:shd w:val="clear" w:color="auto" w:fill="E6E6E6"/>
    </w:rPr>
  </w:style>
  <w:style w:type="character" w:customStyle="1" w:styleId="apple-converted-space">
    <w:name w:val="apple-converted-space"/>
    <w:basedOn w:val="Fuentedeprrafopredeter"/>
    <w:rsid w:val="00580448"/>
  </w:style>
  <w:style w:type="character" w:styleId="nfasis">
    <w:name w:val="Emphasis"/>
    <w:basedOn w:val="Fuentedeprrafopredeter"/>
    <w:uiPriority w:val="20"/>
    <w:qFormat/>
    <w:rsid w:val="009E6F32"/>
    <w:rPr>
      <w:i/>
      <w:iCs/>
    </w:rPr>
  </w:style>
  <w:style w:type="character" w:styleId="Textoennegrita">
    <w:name w:val="Strong"/>
    <w:basedOn w:val="Fuentedeprrafopredeter"/>
    <w:uiPriority w:val="22"/>
    <w:qFormat/>
    <w:rsid w:val="00D81F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92747303">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461532773">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publish.csiro.au/paper/ZO9740341.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apsnet.org/online/exoticpest/Papers/haugen.htm." TargetMode="External"/><Relationship Id="rId2" Type="http://schemas.openxmlformats.org/officeDocument/2006/relationships/styles" Target="styles.xml"/><Relationship Id="rId16" Type="http://schemas.openxmlformats.org/officeDocument/2006/relationships/hyperlink" Target="http://www.cabi.org/isc/abstract/1991065254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cabi.org/isc/abstract/19940608472" TargetMode="External"/><Relationship Id="rId10" Type="http://schemas.openxmlformats.org/officeDocument/2006/relationships/image" Target="media/image6.jpeg"/><Relationship Id="rId19" Type="http://schemas.openxmlformats.org/officeDocument/2006/relationships/hyperlink" Target="http://www.cabi.org/isc/abstract/19961100213"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cabi.org/isc/abstract/1973060623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3648</Words>
  <Characters>20067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UAT</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gilberto GONZALEZ BARRIOS</cp:lastModifiedBy>
  <cp:revision>1</cp:revision>
  <dcterms:created xsi:type="dcterms:W3CDTF">2017-06-08T19:34:00Z</dcterms:created>
  <dcterms:modified xsi:type="dcterms:W3CDTF">2017-06-08T19:34:00Z</dcterms:modified>
</cp:coreProperties>
</file>